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83"/>
        <w:tabs>
          <w:tab w:val="right" w:pos="9639"/>
        </w:tabs>
        <w:spacing w:after="0"/>
        <w:rPr>
          <w:rFonts w:hint="default" w:eastAsia="宋体"/>
          <w:b/>
          <w:i/>
          <w:sz w:val="28"/>
          <w:lang w:val="en-US" w:eastAsia="zh-CN"/>
        </w:rPr>
      </w:pPr>
      <w:r>
        <w:rPr>
          <w:b/>
          <w:sz w:val="24"/>
        </w:rPr>
        <w:t>3GPP TSG-SA5 Meeting #165</w:t>
      </w:r>
      <w:r>
        <w:rPr>
          <w:b/>
          <w:i/>
          <w:sz w:val="28"/>
        </w:rPr>
        <w:tab/>
      </w:r>
      <w:r>
        <w:rPr>
          <w:b/>
          <w:i/>
          <w:sz w:val="28"/>
        </w:rPr>
        <w:t>S5-26</w:t>
      </w:r>
      <w:r>
        <w:rPr>
          <w:rFonts w:hint="eastAsia"/>
          <w:b/>
          <w:i/>
          <w:sz w:val="28"/>
          <w:lang w:val="en-US" w:eastAsia="zh-CN"/>
        </w:rPr>
        <w:t>0140</w:t>
      </w:r>
      <w:bookmarkStart w:id="11" w:name="_GoBack"/>
      <w:bookmarkEnd w:id="11"/>
    </w:p>
    <w:p w14:paraId="64C91465">
      <w:pPr>
        <w:pStyle w:val="35"/>
        <w:rPr>
          <w:sz w:val="22"/>
          <w:szCs w:val="22"/>
        </w:rPr>
      </w:pPr>
      <w:r>
        <w:rPr>
          <w:sz w:val="24"/>
        </w:rPr>
        <w:t>Goa, India, 09 - 13 February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r>
        <w:rPr>
          <w:rFonts w:ascii="Arial" w:hAnsi="Arial" w:cs="Arial"/>
          <w:b/>
          <w:bCs/>
          <w:lang w:val="en-US"/>
        </w:rPr>
        <w:t>, ZTE Corporation</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TR 32.801-01 Add</w:t>
      </w:r>
      <w:r>
        <w:rPr>
          <w:rFonts w:hint="default" w:ascii="Arial" w:hAnsi="Arial" w:cs="Arial"/>
          <w:b/>
          <w:bCs/>
          <w:lang w:val="en-US" w:eastAsia="zh-CN"/>
        </w:rPr>
        <w:t xml:space="preserve"> </w:t>
      </w:r>
      <w:r>
        <w:rPr>
          <w:rFonts w:hint="default" w:ascii="Arial" w:hAnsi="Arial" w:cs="Arial"/>
          <w:b/>
          <w:bCs/>
          <w:lang w:val="en-US"/>
        </w:rPr>
        <w:t>Intent-Driven Closed-Loop Operation Scenarios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6.20.6</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0.0.0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FS_6G_OAM</w:t>
      </w:r>
    </w:p>
    <w:p w14:paraId="04F37A79">
      <w:pPr>
        <w:pBdr>
          <w:bottom w:val="single" w:color="auto" w:sz="12" w:space="1"/>
        </w:pBdr>
        <w:spacing w:after="120"/>
        <w:ind w:left="1985" w:hanging="1985"/>
        <w:rPr>
          <w:rFonts w:ascii="Arial" w:hAnsi="Arial" w:cs="Arial"/>
          <w:b/>
          <w:bCs/>
          <w:lang w:val="en-US"/>
        </w:rPr>
      </w:pPr>
    </w:p>
    <w:p w14:paraId="1BEAFE32">
      <w:pPr>
        <w:pStyle w:val="83"/>
        <w:rPr>
          <w:b/>
          <w:lang w:val="en-US"/>
        </w:rPr>
      </w:pPr>
      <w:r>
        <w:rPr>
          <w:b/>
          <w:lang w:val="en-US"/>
        </w:rPr>
        <w:t>Comments</w:t>
      </w:r>
    </w:p>
    <w:p w14:paraId="41D7AC78">
      <w:pPr>
        <w:rPr>
          <w:lang w:val="en-US"/>
        </w:rPr>
      </w:pPr>
      <w:r>
        <w:rPr>
          <w:lang w:val="en-US"/>
        </w:rPr>
        <w:t>This contribution proposes to add structure for TR 32.801-01 based on SP-251653</w:t>
      </w:r>
    </w:p>
    <w:p w14:paraId="04AEBE0A">
      <w:pPr>
        <w:pBdr>
          <w:bottom w:val="single" w:color="auto" w:sz="12" w:space="1"/>
        </w:pBdr>
        <w:rPr>
          <w:lang w:val="en-US"/>
        </w:rPr>
      </w:pPr>
    </w:p>
    <w:p w14:paraId="09CF4A2B">
      <w:pPr>
        <w:pStyle w:val="83"/>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C85F97">
      <w:pPr>
        <w:pStyle w:val="2"/>
      </w:pPr>
      <w:r>
        <w:t>6</w:t>
      </w:r>
      <w:r>
        <w:tab/>
      </w:r>
      <w:r>
        <w:t>6G Management Scenarios</w:t>
      </w:r>
    </w:p>
    <w:p w14:paraId="6579B6AF">
      <w:pPr>
        <w:pStyle w:val="3"/>
        <w:rPr>
          <w:lang w:eastAsia="zh-CN"/>
        </w:rPr>
      </w:pPr>
      <w:r>
        <w:rPr>
          <w:lang w:eastAsia="zh-CN"/>
        </w:rPr>
        <w:t>6.</w:t>
      </w:r>
      <w:r>
        <w:rPr>
          <w:rFonts w:hint="eastAsia"/>
          <w:lang w:val="en-US" w:eastAsia="zh-CN"/>
        </w:rPr>
        <w:t>x</w:t>
      </w:r>
      <w:r>
        <w:rPr>
          <w:lang w:eastAsia="zh-CN"/>
        </w:rPr>
        <w:t xml:space="preserve"> Enhanced and new management scenarios for 6G</w:t>
      </w:r>
    </w:p>
    <w:p w14:paraId="213EF54E">
      <w:pPr>
        <w:rPr>
          <w:i/>
        </w:rPr>
      </w:pPr>
      <w:r>
        <w:rPr>
          <w:i/>
        </w:rPr>
        <w:t>Editor's note 1: This clause will contain new 6G management scenarios and the corresponding requirements.</w:t>
      </w:r>
    </w:p>
    <w:p w14:paraId="23ED34B2">
      <w:pPr>
        <w:pStyle w:val="4"/>
        <w:rPr>
          <w:lang w:eastAsia="zh-CN"/>
        </w:rPr>
      </w:pPr>
      <w:r>
        <w:rPr>
          <w:lang w:eastAsia="zh-CN"/>
        </w:rPr>
        <w:t>6.</w:t>
      </w:r>
      <w:r>
        <w:rPr>
          <w:rFonts w:hint="eastAsia"/>
          <w:lang w:val="en-US" w:eastAsia="zh-CN"/>
        </w:rPr>
        <w:t>x</w:t>
      </w:r>
      <w:r>
        <w:rPr>
          <w:lang w:eastAsia="zh-CN"/>
        </w:rPr>
        <w:t>.</w:t>
      </w:r>
      <w:r>
        <w:rPr>
          <w:rFonts w:hint="eastAsia"/>
          <w:lang w:val="en-US" w:eastAsia="zh-CN"/>
        </w:rPr>
        <w:t>y</w:t>
      </w:r>
      <w:r>
        <w:rPr>
          <w:lang w:eastAsia="zh-CN"/>
        </w:rPr>
        <w:t xml:space="preserve"> &lt;</w:t>
      </w:r>
      <w:r>
        <w:rPr>
          <w:rFonts w:hint="eastAsia"/>
        </w:rPr>
        <w:t>Intent-Driven Closed-Loop Operation Scenarios</w:t>
      </w:r>
      <w:r>
        <w:rPr>
          <w:lang w:eastAsia="zh-CN"/>
        </w:rPr>
        <w:t>#</w:t>
      </w:r>
      <w:r>
        <w:rPr>
          <w:rFonts w:hint="eastAsia"/>
          <w:lang w:val="en-US" w:eastAsia="zh-CN"/>
        </w:rPr>
        <w:t>4</w:t>
      </w:r>
      <w:r>
        <w:rPr>
          <w:lang w:eastAsia="zh-CN"/>
        </w:rPr>
        <w:t>&gt;</w:t>
      </w:r>
    </w:p>
    <w:p w14:paraId="6A15080D">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.1 Management Scenario #&lt;1&gt;: &lt;</w:t>
      </w:r>
      <w:r>
        <w:rPr>
          <w:rFonts w:hint="default"/>
          <w:sz w:val="28"/>
          <w:lang w:eastAsia="zh-CN"/>
        </w:rPr>
        <w:t>Intent Monitoring and Adaptive Adjustment</w:t>
      </w:r>
      <w:r>
        <w:rPr>
          <w:sz w:val="28"/>
          <w:lang w:eastAsia="zh-CN"/>
        </w:rPr>
        <w:t>&gt;</w:t>
      </w:r>
    </w:p>
    <w:p w14:paraId="07D8BE49">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.1 Description</w:t>
      </w:r>
    </w:p>
    <w:p w14:paraId="75FAE5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This scenario constructs a fully closed-loop operation system of "intent submission - parsing - execution - monitoring - adjustment - verification". By continuously monitoring the satisfaction status of business intentions and the network operation status, it automatically identifies intention deviations and triggers adaptive adjustment strategies to ensure that intentions can still be stably achieved under dynamic network changes (such as link failures, traffic bursts, and equipment anomalies). The closed-loop process requires no manual intervention, achieving full-process automated control from intention to network operation, and enhancing the network's adaptability to business requirements and anti-interference capability.</w:t>
      </w:r>
    </w:p>
    <w:p w14:paraId="131274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For example, the intent closed-loop guarantee for emergency command services in smart cities involves the following business process:</w:t>
      </w:r>
    </w:p>
    <w:p w14:paraId="17FBDC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1. The emergency command center submits the core intention: "During the disposal of emergencies (24 hours), provide high reliability (≥99.99%), low latency (≤20ms) voice/video communication services for command terminals and on-site rescue terminals, support 500 concurrent terminal accesses, and ensure network interruption recovery time ≤3 seconds";</w:t>
      </w:r>
    </w:p>
    <w:p w14:paraId="668CAD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2. After the intention execution module completes parsing, resource allocation, and configuration deployment, the closed-loop monitoring system initiates comprehensive monitoring: collecting communication latency, speech clarity, and video fluency through terminal probes; monitoring link connectivity status, device operation status, and resource occupancy rate through network probes; and collecting terminal access numbers and session establishment success rates through the business platform;</w:t>
      </w:r>
    </w:p>
    <w:p w14:paraId="71571E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3. Due to the dense crowd at the emergency scene, the local access network load suddenly increases, causing some rescue terminals' communication latency to exceed the intended threshold (20ms), and the monitoring system triggers an intention deviation alarm;</w:t>
      </w:r>
    </w:p>
    <w:p w14:paraId="1FCCFD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4. Upon receiving the alarm, the adaptive adjustment engine quickly analyzes the cause of the deviation (insufficient access network resources) and generates an adjustment strategy: switch some terminal traffic in the area to a backup access node, temporarily expand the access network carrier bandwidth, and optimize the terminal access scheduling algorithm;</w:t>
      </w:r>
    </w:p>
    <w:p w14:paraId="5CD6B0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5. The adjustment strategy is issued to the access network devices and core network elements through standardized interfaces to perform resource expansion and traffic scheduling operations;</w:t>
      </w:r>
    </w:p>
    <w:p w14:paraId="7B39C8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6. After adjustment, the verification module continuously collects indicators, confirming that the communication delay has been restored to 18ms, the number of access terminals remains at 500, the reliability maintains at 99.995%, and the intention deviation has been eliminated;</w:t>
      </w:r>
    </w:p>
    <w:p w14:paraId="563D8CEA">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ascii="Segoe UI" w:hAnsi="Segoe UI" w:eastAsia="Segoe UI" w:cs="Segoe UI"/>
          <w:color w:val="0F1115"/>
          <w:sz w:val="21"/>
          <w:szCs w:val="21"/>
          <w:shd w:val="clear" w:fill="FFFFFF"/>
        </w:rPr>
      </w:pPr>
      <w:r>
        <w:rPr>
          <w:rFonts w:hint="eastAsia" w:ascii="Segoe UI" w:hAnsi="Segoe UI" w:eastAsia="Segoe UI" w:cs="Segoe UI"/>
          <w:color w:val="0F1115"/>
          <w:sz w:val="21"/>
          <w:szCs w:val="21"/>
          <w:shd w:val="clear" w:fill="FFFFFF"/>
          <w:lang w:val="en-US" w:eastAsia="zh-CN" w:bidi="ar"/>
        </w:rPr>
        <w:t>7. Over the next 10 hours, the monitoring system continuously tracks the network status. When a transmission link failure is detected (resulting in a decrease in reliability of some areas to 99.98%), the system automatically triggers a link switching strategy to quickly switch traffic to a redundant link. Network reliability is restored within 300ms, ensuring that the intent is continuously met.</w:t>
      </w:r>
    </w:p>
    <w:p w14:paraId="4DD6B91A">
      <w:pPr>
        <w:ind w:firstLine="420" w:firstLineChars="200"/>
        <w:jc w:val="both"/>
        <w:rPr>
          <w:rFonts w:ascii="Segoe UI" w:hAnsi="Segoe UI" w:eastAsia="Segoe UI" w:cs="Segoe UI"/>
          <w:color w:val="0F1115"/>
          <w:sz w:val="21"/>
          <w:szCs w:val="21"/>
          <w:shd w:val="clear" w:fill="FFFFFF"/>
          <w:lang w:eastAsia="zh-CN"/>
        </w:rPr>
      </w:pPr>
    </w:p>
    <w:p w14:paraId="6FAEF910">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.2 Potential Requirements</w:t>
      </w:r>
    </w:p>
    <w:p w14:paraId="28FF81E7">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20553D7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[Sample-Biz-Req-1] The 3GPP management system should support standardized modeling, parsing, and instantiation of business intentions, and transform them into executable network resource configuration policies and SLA commitments.</w:t>
      </w:r>
    </w:p>
    <w:p w14:paraId="5A7AE91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[Sample-Biz-Req-2] The 3GPP management system should support end-to-end, full-dimensional real-time monitoring of intent fulfillment status, and be able to automatically identify and diagnose intent deviations and their root causes.</w:t>
      </w:r>
    </w:p>
    <w:p w14:paraId="3B21094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[Sample-Biz-Req-3] The 3GPP management system should support the automatic generation, evaluation, and issuance of adaptive adjustment strategies (such as resource reallocation and path switching) upon detecting intentional deviations, in order to achieve closed-loop self-healing.</w:t>
      </w:r>
    </w:p>
    <w:p w14:paraId="778C34C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[Sample-Biz-Req-4] The 3GPP management system should support the evaluation and verification of the efficacy of the intent assurance closed loop (such as adjustment success rate, recovery time), and drive the continuous optimization of policies and intent models.</w:t>
      </w:r>
    </w:p>
    <w:p w14:paraId="0AF74E81">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5AEF18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Key Issue 1: Standardized Modeling, Parsing and Decomposition of Business Intent</w:t>
      </w:r>
    </w:p>
    <w:p w14:paraId="71BC9C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To achieve automated conversion from high-level business requirements to executable network instructions, the management system needs to address how to standardize and formally describe (model) diverse and complex business intentions in a machine-readable format, and possess the ability to accurately parse and decompose them into specific network resource allocation strategies and cross-domain SLA objectives.</w:t>
      </w:r>
    </w:p>
    <w:p w14:paraId="198E4D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Potential Technical Requirements for KI-1:</w:t>
      </w:r>
    </w:p>
    <w:p w14:paraId="3B43B7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[Tech-Req-KI-1-1] The management system should support the definition and publication of a standardized Intent Description Language (IDL) or data model (such as an extended YANG model) for structured expression of business objectives, service level expectations (such as latency, reliability, capacity), spatiotemporal constraints, and associated business contexts.</w:t>
      </w:r>
    </w:p>
    <w:p w14:paraId="46029D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[Tech-Req-KI-1-2] The management system should provide standardized intent parsing and conversion services, capable of decomposing and mapping input standardized intent instances into a set of specific, technology-domain-related configuration policies (such as slicing templates, QoS policies, routing policies) and measurable KPI targets through a policy rule library or AI model.</w:t>
      </w:r>
    </w:p>
    <w:p w14:paraId="43AF7D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[Tech-Req-KI-1-3] The management system should track and manage the versioning of the instantiation process of intents, recording the mapping relationships between the original intent, the parsed policy set, and the final resource configuration, providing a foundation for subsequent monitoring and attribution analysis.</w:t>
      </w:r>
    </w:p>
    <w:p w14:paraId="325A2F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p>
    <w:p w14:paraId="2DE6DB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Key Issue 2: Multi-dimensional, Cross-domain Monitoring and Root Cause Diagnosis for Intent Fulfillment</w:t>
      </w:r>
    </w:p>
    <w:p w14:paraId="3E8596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To assess the status of intention fulfillment in real-time and accurately, and to identify deviations, the management system needs to address how to collect and correlate massive amounts of monitoring data from multiple dimensions such as terminals, networks, and business platforms. Based on this, it should automatically diagnose the root causes of intention deviations (such as excessive latency and decreased reliability).</w:t>
      </w:r>
    </w:p>
    <w:p w14:paraId="26F154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Potential Technical Requirements for KI-2:</w:t>
      </w:r>
    </w:p>
    <w:p w14:paraId="2F9D8D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[Tech-Req-KI-2-1] The management system should support the definition and collection of end-to-end, cross-domain monitoring data that is directly related to intent KPIs, and standardize the data collection interfaces, frequencies, and formats from terminal probes, network probes to business platforms.</w:t>
      </w:r>
    </w:p>
    <w:p w14:paraId="20E9D8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[Tech-Req-KI-2-2] The management system should be able to calculate the current values of intention-related KPIs in real time, compare them with the thresholds or target ranges defined in the intentions, automatically and promptly detect intention deviations, and generate alerts.</w:t>
      </w:r>
    </w:p>
    <w:p w14:paraId="236E9B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[Tech-Req-KI-2-3] The management system should have built-in or integrated root cause analysis (RCA) capabilities, which can automatically diagnose the most likely root cause (such as "access network resource overload" or "specific transmission link failure") based on topological relationships, configuration change logs, and multi-dimensional monitoring data when deviations are detected, and output the diagnosis results in a standardized format.</w:t>
      </w:r>
    </w:p>
    <w:p w14:paraId="4A98D6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p>
    <w:p w14:paraId="7C8D5E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Key Issue 3: Automated Generation and Execution of Adaptive Remediation Strategies</w:t>
      </w:r>
    </w:p>
    <w:p w14:paraId="456CE6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To achieve closed-loop self-healing, the management system needs to address how to automatically generate feasible and optimal adjustment strategies after detecting intentional deviations and identifying the root causes, and then deploy and execute these strategies on the target network domains and devices through secure and reliable interfaces.</w:t>
      </w:r>
    </w:p>
    <w:p w14:paraId="2501AC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Potential Technical Requirements for KI-3:</w:t>
      </w:r>
    </w:p>
    <w:p w14:paraId="68EC7C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[Tech-Req-KI-3-1] The management system should provide a standardized policy generation interface or framework, allowing the integrated policy engine (based on rules or AI) to receive intent deviation alerts and root cause diagnosis results, and output specific adjustment policies (such as "switch traffic from node A to node B", "increase resource allocation for slice X by 10%").</w:t>
      </w:r>
    </w:p>
    <w:p w14:paraId="7DDC9F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[Tech-Req-KI-3-2] The management system should conduct simulation verification or impact assessment on the generated adjustment strategies, predicting their effects on the overall network and other intentions after implementation, to avoid introducing new problems.</w:t>
      </w:r>
    </w:p>
    <w:p w14:paraId="67C1B7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[Tech-Req-KI-3-3] The management system should safely and reliably decompose approved adjustment policies into device-level configuration commands through standardized configuration management interfaces (such as NETCONF/YANG), and issue them to the corresponding network elements for execution, while providing tracking of the policy execution status.</w:t>
      </w:r>
    </w:p>
    <w:p w14:paraId="234F1E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p>
    <w:p w14:paraId="5CD6EA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Key Issue 4: Closed-loop Verification, Efficacy Measurement and Continuous Optimization</w:t>
      </w:r>
    </w:p>
    <w:p w14:paraId="0EF4AD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To ensure continuous intent assurance capability and drive system evolution, the management system needs to address how to automate the verification of the effectiveness of each closed-loop adjustment action, measure the overall closed-loop efficiency, and utilize feedback data to continuously optimize the intent model, monitoring strategy, and adjustment algorithm.</w:t>
      </w:r>
    </w:p>
    <w:p w14:paraId="372A6D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Potential Technical Requirements for KI-4:</w:t>
      </w:r>
    </w:p>
    <w:p w14:paraId="3BAD9D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[Tech-Req-KI-4-1] The management system should automatically initiate a verification cycle after adjusting the strategy implementation, continuously collect relevant KPI data, confirm whether the intention deviation has been eliminated, and standardize the recording and reporting of verification results (success/failure and indicator data).</w:t>
      </w:r>
    </w:p>
    <w:p w14:paraId="4EC563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[Tech-Req-KI-4-2] The management system should support the definition and measurement of new performance KPIs that ensure a closed-loop system, such as average intention deviation detection time, average root cause identification time, success rate of adjustment strategies, and mean time to recovery (MTTR) from the occurrence of a deviation to recovery.</w:t>
      </w:r>
    </w:p>
    <w:p w14:paraId="404EFE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宋体" w:cs="Segoe UI"/>
          <w:color w:val="0F1115"/>
          <w:sz w:val="21"/>
          <w:szCs w:val="21"/>
          <w:shd w:val="clear" w:fill="FFFFFF"/>
          <w:lang w:val="en-US" w:eastAsia="zh-CN"/>
        </w:rPr>
      </w:pPr>
      <w:r>
        <w:rPr>
          <w:rFonts w:hint="eastAsia" w:ascii="Segoe UI" w:hAnsi="Segoe UI" w:cs="Segoe UI"/>
          <w:color w:val="0F1115"/>
          <w:sz w:val="21"/>
          <w:szCs w:val="21"/>
          <w:shd w:val="clear" w:fill="FFFFFF"/>
          <w:lang w:val="en-US" w:eastAsia="zh-CN"/>
        </w:rPr>
        <w:t>[Tech-Req-KI-4-3] The management system should provide a mechanism to incorporate closed-loop verification results, performance KPIs, and actual network state change data as feedback, which will drive the continuous optimization and iterative updating of the intent parsing model, monitoring thresholds, root cause analysis model, and policy generation rules.</w:t>
      </w:r>
    </w:p>
    <w:p w14:paraId="661BB4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rPr>
          <w:rFonts w:hint="eastAsia" w:ascii="Segoe UI" w:hAnsi="Segoe UI" w:eastAsia="宋体" w:cs="Segoe UI"/>
          <w:color w:val="0F1115"/>
          <w:sz w:val="21"/>
          <w:szCs w:val="21"/>
          <w:shd w:val="clear" w:fill="FFFFFF"/>
          <w:lang w:val="en-US" w:eastAsia="zh-CN"/>
        </w:rPr>
      </w:pPr>
    </w:p>
    <w:p w14:paraId="078B50C6">
      <w:pPr>
        <w:rPr>
          <w:lang w:eastAsia="zh-CN"/>
        </w:rPr>
      </w:pPr>
    </w:p>
    <w:p w14:paraId="4E77C72D">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.2 Management Scenario #&lt;2&gt;: &lt;</w:t>
      </w:r>
      <w:r>
        <w:rPr>
          <w:rFonts w:hint="default"/>
          <w:sz w:val="28"/>
          <w:lang w:eastAsia="zh-CN"/>
        </w:rPr>
        <w:t>Intent Conflict Detection and Resolution</w:t>
      </w:r>
      <w:r>
        <w:rPr>
          <w:sz w:val="28"/>
          <w:lang w:eastAsia="zh-CN"/>
        </w:rPr>
        <w:t>&gt;</w:t>
      </w:r>
    </w:p>
    <w:p w14:paraId="0412383F">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.2.1 Description</w:t>
      </w:r>
    </w:p>
    <w:p w14:paraId="57CF39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This scenario addresses issues such as resource competition, rule conflicts, and mutually exclusive goals that may arise when multiple services and users simultaneously submit intentions. Through an automated process of conflict detection, analysis, resolution, and verification, it ensures the stable execution of various intentions without mutual interference. Conflict types include resource conflicts (such as multiple high-bandwidth-demand intentions competing for the same link resources), rule conflicts (such as intention A requesting "priority scheduling for edge nodes" and intention B requesting "priority scheduling for backbone networks"), and goal conflicts (such as intention A requiring "minimizing latency" and intention B requiring "maximizing bandwidth utilization"). The core is to achieve rapid identification and reasonable resolution of conflicts through intelligent algorithms, ensuring efficient utilization of network resources and collaborative satisfaction of multiple service intentions.</w:t>
      </w:r>
    </w:p>
    <w:p w14:paraId="692AE9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For example, in the context of mixed business scenarios, the intention conflict handling process is as follows:</w:t>
      </w:r>
    </w:p>
    <w:p w14:paraId="365C6B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1. The same area simultaneously receives three business intents:</w:t>
      </w:r>
    </w:p>
    <w:p w14:paraId="5AE12A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Intent A (Vehicle-to-Everything (V2X) Autonomous Driving): "End-to-end latency ≤ 10ms, reliability ≥ 99.999%, bandwidth utilization ≥ 500Mbps" (highest priority);</w:t>
      </w:r>
    </w:p>
    <w:p w14:paraId="48DA33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Intent B (HD video conferencing): "Bandwidth ≥ 1Gbps, stuttering rate ≤ 0.05%, latency ≤ 50ms" (priority medium);</w:t>
      </w:r>
    </w:p>
    <w:p w14:paraId="5066D5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Intent C (batch file transfer): "Complete the transfer of 100GB files within 2 hours, with bandwidth utilization rate ≥70%" (lowest priority);</w:t>
      </w:r>
    </w:p>
    <w:p w14:paraId="6027BB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2. Before executing the intentions, the conflict detection engine conducts a pre-check based on the network resource inventory (total bandwidth of links in this area is 2Gbps) and the intention requirements, and identifies resource conflicts: the bandwidth requirements of intentions A+B (500Mbps+1Gbps=1.5Gbps) have already occupied most of the link resources. If intention C (estimated bandwidth requirement ≥700Mbps) is executed simultaneously, it will result in the total bandwidth demand exceeding the link capacity, leading to a decline in performance of all services;</w:t>
      </w:r>
    </w:p>
    <w:p w14:paraId="450511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3. The conflict analysis module further evaluates the impact of conflicts: If the three intentions are forcibly executed, the latency of intention A may rise to 15ms (violating the requirement), the stuttering rate of intention B may increase to 0.2% (violating the requirement), and the transmission time of intention C may be extended to 4 hours (violating the requirement); meanwhile, the conflict type is identified as "resource capacity conflict", and the conflict priority is "critical" (affecting the highest priority intention);</w:t>
      </w:r>
    </w:p>
    <w:p w14:paraId="1EA917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4. The conflict resolution engine generates a resolution plan based on priority rules and resource optimization algorithms: Prioritize the bandwidth requirements of Intent A (highest priority) and Intent B (medium priority), and adjust the execution strategy for Intent C by adopting a "time-sharing transmission" mode. Allocate 800Mbps bandwidth during the low traffic periods of Intent A and B (such as the first 10 minutes of each hour), and allocate 300Mbps bandwidth for the remaining time, ensuring that the file transmission is completed within 2 hours without affecting the performance of Intent A and B;</w:t>
      </w:r>
    </w:p>
    <w:p w14:paraId="1E9DCF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5. After implementing the mitigation plan, the monitoring system tracked the satisfaction status of the three intents in real-time: Intent A maintained a stable latency of 8ms, Intent B exhibited a stuttering rate of 0.03%, and Intent C's transmission progress met expectations;</w:t>
      </w:r>
    </w:p>
    <w:p w14:paraId="4A1421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6. During the execution process, the bandwidth requirement of Intent B temporarily increased to 1.2Gbps (due to an increase in the number of participants), triggering another resource conflict (the combined bandwidth requirement of A and B is 1.7Gbps, while the remaining resources are 300Mbps, which cannot meet the time-shared transmission requirement of Intent C);</w:t>
      </w:r>
    </w:p>
    <w:p w14:paraId="1D00ABBA">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jc w:val="both"/>
        <w:rPr>
          <w:rFonts w:ascii="Segoe UI" w:hAnsi="Segoe UI" w:eastAsia="Segoe UI" w:cs="Segoe UI"/>
          <w:color w:val="0F1115"/>
          <w:sz w:val="21"/>
          <w:szCs w:val="21"/>
          <w:shd w:val="clear" w:fill="FFFFFF"/>
        </w:rPr>
      </w:pPr>
      <w:r>
        <w:rPr>
          <w:rFonts w:hint="eastAsia" w:ascii="Segoe UI" w:hAnsi="Segoe UI" w:eastAsia="Segoe UI" w:cs="Segoe UI"/>
          <w:color w:val="0F1115"/>
          <w:sz w:val="21"/>
          <w:szCs w:val="21"/>
          <w:shd w:val="clear" w:fill="FFFFFF"/>
          <w:lang w:val="en-US" w:eastAsia="zh-CN" w:bidi="ar"/>
        </w:rPr>
        <w:t>7. Dynamic adjustment scheme for conflict resolution engine: Extend the transmission cycle of intention C to 2.5 hours, further optimize the time-sharing strategy, allocate 1Gbps bandwidth during the low traffic period, ensure that the core needs of the three intentions are all met, and completely resolve the conflict.</w:t>
      </w:r>
    </w:p>
    <w:p w14:paraId="7798A1C2">
      <w:pPr>
        <w:jc w:val="both"/>
        <w:rPr>
          <w:lang w:eastAsia="zh-CN"/>
        </w:rPr>
      </w:pPr>
    </w:p>
    <w:p w14:paraId="2F658F69">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.2.2 Potential Requirements</w:t>
      </w:r>
    </w:p>
    <w:p w14:paraId="684294A5">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777AF50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[Sample-Biz-Req-1] The 3GPP management system should support automated detection, analysis, and impact assessment of conflicts among resources, rules, and objectives across multiple business intentions.</w:t>
      </w:r>
    </w:p>
    <w:p w14:paraId="38D8323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[Sample-Biz-Req-2] The 3GPP management system should support the automatic generation and execution of dynamic intent conflict resolution schemes (such as resource reservation and time-sharing scheduling) based on preset policies and optimization algorithms.</w:t>
      </w:r>
    </w:p>
    <w:p w14:paraId="2C4AFF0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[Sample-Biz-Req-3] The 3GPP management system should be capable of pre-verifying and post-execution evaluating conflict resolution schemes to ensure that all core requirements of the intended outcomes are met after resolution.</w:t>
      </w:r>
    </w:p>
    <w:p w14:paraId="5E1BAEB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[Sample-Biz-Req-4] The 3GPP management system should support the definition and measurement of performance indicators for handling intention conflicts, such as conflict detection accuracy, resolution scheme generation time, and success rate.</w:t>
      </w:r>
    </w:p>
    <w:p w14:paraId="3B723808">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56F2CE2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1: Unified Modeling and Automated Discovery of Intent Conflicts</w:t>
      </w:r>
    </w:p>
    <w:p w14:paraId="58FB332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collaborative coexistence of multiple intentions, the management system needs to address how to standardize the modeling of diverse business intentions, their resources, rules, and objectives. Furthermore, based on this, it should automatically and proactively identify potential conflicts between different instances of intentions.</w:t>
      </w:r>
    </w:p>
    <w:p w14:paraId="3A2506C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KI-1:</w:t>
      </w:r>
    </w:p>
    <w:p w14:paraId="709D528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[Tech-Req-KI-1-1] The management system should support the definition of a standardized intent meta-model, capable of structurally describing the SLA objectives (KPIs and thresholds), priorities, spatiotemporal scopes, resource requirements, and related policy rules of intents.</w:t>
      </w:r>
    </w:p>
    <w:p w14:paraId="40B7352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[Tech-Req-KI-1-2] The management system should support the definition and maintenance of a unified, real-time updated inventory view of network resources and policies, encompassing physical resources (such as bandwidth, computing power), logical resources (such as slice instances), and effective configuration rules.</w:t>
      </w:r>
    </w:p>
    <w:p w14:paraId="2105988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[Tech-Req-KI-1-3] The management system should have a built-in conflict detection engine that can compare its requirements with the inventory view before the instantiation (deployment) of intents, automatically identify conflicts such as resource overload, rule contradictions, or mutually exclusive goals, and generate standardized conflict reports.</w:t>
      </w:r>
    </w:p>
    <w:p w14:paraId="782AA56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2: Intelligent Conflict Resolution and Dynamic Strategy Generation</w:t>
      </w:r>
    </w:p>
    <w:p w14:paraId="377630F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Upon detecting conflicts, the management system needs to address how to automatically generate a fair, efficient, and executable conflict resolution strategy based on business priorities, network global status, and optimization objectives, and be able to adjust the strategy in response to dynamic changes during runtime.</w:t>
      </w:r>
    </w:p>
    <w:p w14:paraId="50B6077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KI-2:</w:t>
      </w:r>
    </w:p>
    <w:p w14:paraId="4152476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[Tech-Req-KI-2-1] The management system should provide a configurable conflict resolution strategy framework that supports multiple resolution paradigms, including priority-based preemption, resource time-sharing reuse, and goal-weighted negotiation.</w:t>
      </w:r>
    </w:p>
    <w:p w14:paraId="0F03E90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[Tech-Req-KI-2-2] The management system should integrate or provide an interface to the optimization algorithm engine, enabling it to automatically calculate and generate specific resolution schemes based on conflict types and contexts (such as formulating a time-sharing scheduling plan for low-priority intentions and adjusting resource allocation ratios).</w:t>
      </w:r>
    </w:p>
    <w:p w14:paraId="26688B7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[Tech-Req-KI-2-3] The management system should support dynamic adjustment capabilities for conflict resolution schemes. When network status (such as link failures) or intent requirements (such as bandwidth changes) change, resulting in the original scheme becoming ineffective, it should be able to trigger analysis again and generate new adjustment strategies.</w:t>
      </w:r>
    </w:p>
    <w:p w14:paraId="6D204E0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3: Pre-validation and Continuous Assurance of Resolution Effectiveness</w:t>
      </w:r>
    </w:p>
    <w:p w14:paraId="600B622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ensure that conflict resolution schemes do not introduce new problems and can truly meet the core needs of all intents, the management system needs to address how to conduct impact simulation verification of the schemes before implementation, as well as ongoing effect monitoring and closed-loop assurance after implementation.</w:t>
      </w:r>
    </w:p>
    <w:p w14:paraId="2AFCAA2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KI-3:</w:t>
      </w:r>
    </w:p>
    <w:p w14:paraId="79E4794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[Tech-Req-KI-3-1] The management system should be capable of conducting a "what-if analysis" pre-validation for proposed conflict resolution schemes. Through digital twins or lightweight simulations, it should predict the impact of the scheme on various intention KPIs after implementation, ensuring its feasibility.</w:t>
      </w:r>
    </w:p>
    <w:p w14:paraId="6766C23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[Tech-Req-KI-3-2] After the resolution scheme is executed, the management system should continuously monitor the satisfaction status of all relevant intentions, confirm whether conflicts have been successfully resolved, and verify that no new derivative conflicts have arisen.</w:t>
      </w:r>
    </w:p>
    <w:p w14:paraId="579F27A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[Tech-Req-KI-3-3] If the monitoring reveals that the resolution plan fails to meet expectations or new conflicts arise, the management system should automatically trigger an alert and revert to the conflict handling process (KI-2), initiating a new round of resolution.</w:t>
      </w:r>
    </w:p>
    <w:p w14:paraId="25F4564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4: Metrics and Optimization for the Conflict Handling Process</w:t>
      </w:r>
    </w:p>
    <w:p w14:paraId="54B32FA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evaluate and continuously improve the effectiveness of the intention conflict management system, the management system needs to address how to define and collect quantitative indicators that measure the performance of the entire conflict handling process, and utilize these data for strategy and algorithm optimization.</w:t>
      </w:r>
    </w:p>
    <w:p w14:paraId="32E6EBF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KI-4:</w:t>
      </w:r>
    </w:p>
    <w:p w14:paraId="3DA05DB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[Tech-Req-KI-4-1] The management system should support the definition and measurement of key performance indicators (KPIs) for the conflict handling process, such as the accuracy and timeliness of conflict detection, the average generation time of resolution plans, the success rate of resolution plans in one execution, and the reduction in the rate of intention SLA violations caused by conflicts.</w:t>
      </w:r>
    </w:p>
    <w:p w14:paraId="5A67D48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[Tech-Req-KI-4-2] The management system should be able to record and analyze conflict handling cases (including conflict context, adopted resolution plans, and final outcomes), forming a searchable knowledge base.</w:t>
      </w:r>
    </w:p>
    <w:p w14:paraId="06543AF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[Tech-Req-KI-4-3] The management system should provide a mechanism that utilizes accumulated case data and performance indicators to drive automatic tuning and iterative updating of parameters for conflict detection models, resolution strategy rule bases, and optimization algorithms.</w:t>
      </w:r>
    </w:p>
    <w:p w14:paraId="3041581E">
      <w:pPr>
        <w:jc w:val="both"/>
        <w:rPr>
          <w:lang w:eastAsia="zh-CN"/>
        </w:rPr>
      </w:pPr>
    </w:p>
    <w:p w14:paraId="09575E75">
      <w:pPr>
        <w:pStyle w:val="76"/>
        <w:rPr>
          <w:lang w:eastAsia="zh-CN"/>
        </w:rPr>
      </w:pPr>
    </w:p>
    <w:p w14:paraId="15F76069"/>
    <w:p w14:paraId="4E3A6C0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4EC76C">
      <w:pPr>
        <w:pStyle w:val="11"/>
      </w:pPr>
      <w:bookmarkStart w:id="0" w:name="_Toc214981708"/>
      <w:bookmarkStart w:id="1" w:name="_Toc215665857"/>
      <w:bookmarkStart w:id="2" w:name="_Toc204948604"/>
      <w:bookmarkStart w:id="3" w:name="_Toc214989633"/>
      <w:bookmarkStart w:id="4" w:name="_Toc206752147"/>
      <w:bookmarkStart w:id="5" w:name="_Toc204948731"/>
      <w:bookmarkStart w:id="6" w:name="_Toc215056210"/>
      <w:r>
        <w:t>Annex A:</w:t>
      </w:r>
      <w:r>
        <w:br w:type="textWrapping"/>
      </w:r>
      <w:bookmarkEnd w:id="0"/>
      <w:bookmarkEnd w:id="1"/>
      <w:bookmarkEnd w:id="2"/>
      <w:bookmarkEnd w:id="3"/>
      <w:bookmarkEnd w:id="4"/>
      <w:bookmarkEnd w:id="5"/>
      <w:bookmarkEnd w:id="6"/>
      <w:r>
        <w:t>Management Scenarios, Key Issues, and Solutions Mapping</w:t>
      </w:r>
    </w:p>
    <w:p w14:paraId="13453847">
      <w:pPr>
        <w:pStyle w:val="2"/>
      </w:pPr>
      <w:bookmarkStart w:id="7" w:name="_Toc214989635"/>
      <w:bookmarkStart w:id="8" w:name="_Toc215056212"/>
      <w:bookmarkStart w:id="9" w:name="_Toc215665859"/>
      <w:bookmarkStart w:id="10" w:name="_Toc214981710"/>
      <w:r>
        <w:t>A.1</w:t>
      </w:r>
      <w:r>
        <w:tab/>
      </w:r>
      <w:r>
        <w:t>Mapping between Management Scenarios and Key Issues</w:t>
      </w:r>
      <w:bookmarkEnd w:id="7"/>
      <w:bookmarkEnd w:id="8"/>
      <w:bookmarkEnd w:id="9"/>
      <w:bookmarkEnd w:id="10"/>
    </w:p>
    <w:p w14:paraId="618CBE8D">
      <w:pPr>
        <w:pStyle w:val="58"/>
      </w:pPr>
      <w:r>
        <w:t>Table A.2-1: Mapping of Key Issues to Management Scenarios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567"/>
        <w:gridCol w:w="351"/>
        <w:gridCol w:w="542"/>
        <w:gridCol w:w="544"/>
        <w:gridCol w:w="544"/>
        <w:gridCol w:w="544"/>
        <w:gridCol w:w="544"/>
        <w:gridCol w:w="544"/>
        <w:gridCol w:w="544"/>
        <w:gridCol w:w="615"/>
        <w:gridCol w:w="615"/>
        <w:gridCol w:w="615"/>
        <w:gridCol w:w="615"/>
        <w:gridCol w:w="615"/>
      </w:tblGrid>
      <w:tr w14:paraId="7989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696" w:type="dxa"/>
            <w:vMerge w:val="restart"/>
          </w:tcPr>
          <w:p w14:paraId="6F77215A">
            <w:pPr>
              <w:pStyle w:val="54"/>
              <w:rPr>
                <w:sz w:val="16"/>
                <w:szCs w:val="16"/>
              </w:rPr>
            </w:pPr>
            <w:r>
              <w:rPr>
                <w:sz w:val="16"/>
                <w:szCs w:val="16"/>
              </w:rPr>
              <w:t>Key Issues</w:t>
            </w:r>
          </w:p>
        </w:tc>
        <w:tc>
          <w:tcPr>
            <w:tcW w:w="7799" w:type="dxa"/>
            <w:gridSpan w:val="14"/>
          </w:tcPr>
          <w:p w14:paraId="48477CBF">
            <w:pPr>
              <w:pStyle w:val="54"/>
              <w:rPr>
                <w:szCs w:val="18"/>
              </w:rPr>
            </w:pPr>
            <w:r>
              <w:rPr>
                <w:sz w:val="16"/>
                <w:szCs w:val="16"/>
              </w:rPr>
              <w:t>Management Scenarios</w:t>
            </w:r>
          </w:p>
        </w:tc>
      </w:tr>
      <w:tr w14:paraId="61F1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696" w:type="dxa"/>
            <w:vMerge w:val="continue"/>
          </w:tcPr>
          <w:p w14:paraId="2A02A82D">
            <w:pPr>
              <w:pStyle w:val="54"/>
              <w:rPr>
                <w:sz w:val="16"/>
                <w:szCs w:val="16"/>
              </w:rPr>
            </w:pPr>
          </w:p>
        </w:tc>
        <w:tc>
          <w:tcPr>
            <w:tcW w:w="567" w:type="dxa"/>
          </w:tcPr>
          <w:p w14:paraId="42FA9EB0">
            <w:pPr>
              <w:pStyle w:val="54"/>
              <w:rPr>
                <w:sz w:val="14"/>
                <w:szCs w:val="16"/>
              </w:rPr>
            </w:pPr>
            <w:r>
              <w:rPr>
                <w:sz w:val="14"/>
                <w:szCs w:val="16"/>
              </w:rPr>
              <w:t>1</w:t>
            </w:r>
          </w:p>
        </w:tc>
        <w:tc>
          <w:tcPr>
            <w:tcW w:w="351" w:type="dxa"/>
          </w:tcPr>
          <w:p w14:paraId="23A6A5B3">
            <w:pPr>
              <w:pStyle w:val="54"/>
              <w:rPr>
                <w:sz w:val="14"/>
                <w:szCs w:val="16"/>
              </w:rPr>
            </w:pPr>
            <w:r>
              <w:rPr>
                <w:sz w:val="14"/>
                <w:szCs w:val="16"/>
              </w:rPr>
              <w:t>2</w:t>
            </w:r>
          </w:p>
        </w:tc>
        <w:tc>
          <w:tcPr>
            <w:tcW w:w="542" w:type="dxa"/>
          </w:tcPr>
          <w:p w14:paraId="4B2F7CBF">
            <w:pPr>
              <w:pStyle w:val="54"/>
              <w:rPr>
                <w:sz w:val="14"/>
                <w:szCs w:val="16"/>
              </w:rPr>
            </w:pPr>
            <w:r>
              <w:rPr>
                <w:sz w:val="14"/>
                <w:szCs w:val="16"/>
              </w:rPr>
              <w:t>3</w:t>
            </w:r>
          </w:p>
        </w:tc>
        <w:tc>
          <w:tcPr>
            <w:tcW w:w="544" w:type="dxa"/>
          </w:tcPr>
          <w:p w14:paraId="77D1987B">
            <w:pPr>
              <w:pStyle w:val="54"/>
              <w:rPr>
                <w:sz w:val="14"/>
                <w:szCs w:val="16"/>
              </w:rPr>
            </w:pPr>
            <w:r>
              <w:rPr>
                <w:sz w:val="14"/>
                <w:szCs w:val="16"/>
              </w:rPr>
              <w:t>4</w:t>
            </w:r>
          </w:p>
        </w:tc>
        <w:tc>
          <w:tcPr>
            <w:tcW w:w="544" w:type="dxa"/>
          </w:tcPr>
          <w:p w14:paraId="3ED39281">
            <w:pPr>
              <w:pStyle w:val="54"/>
              <w:rPr>
                <w:sz w:val="14"/>
                <w:szCs w:val="16"/>
              </w:rPr>
            </w:pPr>
            <w:r>
              <w:rPr>
                <w:sz w:val="14"/>
                <w:szCs w:val="16"/>
              </w:rPr>
              <w:t>5</w:t>
            </w:r>
          </w:p>
        </w:tc>
        <w:tc>
          <w:tcPr>
            <w:tcW w:w="544" w:type="dxa"/>
          </w:tcPr>
          <w:p w14:paraId="55A84763">
            <w:pPr>
              <w:pStyle w:val="54"/>
              <w:rPr>
                <w:sz w:val="14"/>
                <w:szCs w:val="16"/>
              </w:rPr>
            </w:pPr>
            <w:r>
              <w:rPr>
                <w:sz w:val="14"/>
                <w:szCs w:val="16"/>
              </w:rPr>
              <w:t>6</w:t>
            </w:r>
          </w:p>
        </w:tc>
        <w:tc>
          <w:tcPr>
            <w:tcW w:w="544" w:type="dxa"/>
          </w:tcPr>
          <w:p w14:paraId="33C789B7">
            <w:pPr>
              <w:pStyle w:val="54"/>
              <w:rPr>
                <w:sz w:val="14"/>
                <w:szCs w:val="16"/>
              </w:rPr>
            </w:pPr>
            <w:r>
              <w:rPr>
                <w:sz w:val="14"/>
                <w:szCs w:val="16"/>
              </w:rPr>
              <w:t>7</w:t>
            </w:r>
          </w:p>
        </w:tc>
        <w:tc>
          <w:tcPr>
            <w:tcW w:w="544" w:type="dxa"/>
          </w:tcPr>
          <w:p w14:paraId="08FB08C7">
            <w:pPr>
              <w:pStyle w:val="54"/>
              <w:rPr>
                <w:sz w:val="14"/>
                <w:szCs w:val="16"/>
              </w:rPr>
            </w:pPr>
            <w:r>
              <w:rPr>
                <w:sz w:val="14"/>
                <w:szCs w:val="16"/>
              </w:rPr>
              <w:t>8</w:t>
            </w:r>
          </w:p>
        </w:tc>
        <w:tc>
          <w:tcPr>
            <w:tcW w:w="544" w:type="dxa"/>
          </w:tcPr>
          <w:p w14:paraId="218C5EDC">
            <w:pPr>
              <w:pStyle w:val="54"/>
              <w:rPr>
                <w:sz w:val="14"/>
                <w:szCs w:val="16"/>
              </w:rPr>
            </w:pPr>
            <w:r>
              <w:rPr>
                <w:sz w:val="14"/>
                <w:szCs w:val="16"/>
              </w:rPr>
              <w:t>9</w:t>
            </w:r>
          </w:p>
        </w:tc>
        <w:tc>
          <w:tcPr>
            <w:tcW w:w="615" w:type="dxa"/>
          </w:tcPr>
          <w:p w14:paraId="211FE9FA">
            <w:pPr>
              <w:pStyle w:val="54"/>
              <w:rPr>
                <w:sz w:val="14"/>
                <w:szCs w:val="16"/>
              </w:rPr>
            </w:pPr>
            <w:r>
              <w:rPr>
                <w:sz w:val="14"/>
                <w:szCs w:val="16"/>
              </w:rPr>
              <w:t>10</w:t>
            </w:r>
          </w:p>
        </w:tc>
        <w:tc>
          <w:tcPr>
            <w:tcW w:w="615" w:type="dxa"/>
          </w:tcPr>
          <w:p w14:paraId="605FDD4E">
            <w:pPr>
              <w:pStyle w:val="54"/>
              <w:rPr>
                <w:sz w:val="14"/>
                <w:szCs w:val="16"/>
              </w:rPr>
            </w:pPr>
            <w:r>
              <w:rPr>
                <w:sz w:val="14"/>
                <w:szCs w:val="16"/>
              </w:rPr>
              <w:t>11</w:t>
            </w:r>
          </w:p>
        </w:tc>
        <w:tc>
          <w:tcPr>
            <w:tcW w:w="615" w:type="dxa"/>
          </w:tcPr>
          <w:p w14:paraId="58B9F019">
            <w:pPr>
              <w:pStyle w:val="54"/>
              <w:rPr>
                <w:sz w:val="14"/>
                <w:szCs w:val="16"/>
              </w:rPr>
            </w:pPr>
            <w:r>
              <w:rPr>
                <w:sz w:val="14"/>
                <w:szCs w:val="16"/>
              </w:rPr>
              <w:t>12</w:t>
            </w:r>
          </w:p>
        </w:tc>
        <w:tc>
          <w:tcPr>
            <w:tcW w:w="615" w:type="dxa"/>
          </w:tcPr>
          <w:p w14:paraId="703CC519">
            <w:pPr>
              <w:pStyle w:val="54"/>
              <w:rPr>
                <w:sz w:val="14"/>
                <w:szCs w:val="16"/>
              </w:rPr>
            </w:pPr>
            <w:r>
              <w:rPr>
                <w:sz w:val="14"/>
                <w:szCs w:val="16"/>
              </w:rPr>
              <w:t>13</w:t>
            </w:r>
          </w:p>
        </w:tc>
        <w:tc>
          <w:tcPr>
            <w:tcW w:w="615" w:type="dxa"/>
          </w:tcPr>
          <w:p w14:paraId="66623E00">
            <w:pPr>
              <w:pStyle w:val="54"/>
              <w:rPr>
                <w:sz w:val="14"/>
                <w:szCs w:val="16"/>
              </w:rPr>
            </w:pPr>
            <w:r>
              <w:rPr>
                <w:sz w:val="14"/>
                <w:szCs w:val="16"/>
              </w:rPr>
              <w:t>14</w:t>
            </w:r>
          </w:p>
        </w:tc>
      </w:tr>
      <w:tr w14:paraId="6586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696" w:type="dxa"/>
          </w:tcPr>
          <w:p w14:paraId="06A86DBE">
            <w:pPr>
              <w:pStyle w:val="54"/>
              <w:rPr>
                <w:sz w:val="14"/>
                <w:szCs w:val="14"/>
              </w:rPr>
            </w:pPr>
            <w:r>
              <w:rPr>
                <w:sz w:val="14"/>
                <w:szCs w:val="14"/>
              </w:rPr>
              <w:t>#1</w:t>
            </w:r>
          </w:p>
        </w:tc>
        <w:tc>
          <w:tcPr>
            <w:tcW w:w="567" w:type="dxa"/>
          </w:tcPr>
          <w:p w14:paraId="0686CD72">
            <w:pPr>
              <w:pStyle w:val="55"/>
              <w:rPr>
                <w:sz w:val="14"/>
                <w:szCs w:val="14"/>
              </w:rPr>
            </w:pPr>
          </w:p>
        </w:tc>
        <w:tc>
          <w:tcPr>
            <w:tcW w:w="351" w:type="dxa"/>
          </w:tcPr>
          <w:p w14:paraId="7C844376">
            <w:pPr>
              <w:pStyle w:val="55"/>
              <w:rPr>
                <w:sz w:val="14"/>
                <w:szCs w:val="14"/>
              </w:rPr>
            </w:pPr>
          </w:p>
        </w:tc>
        <w:tc>
          <w:tcPr>
            <w:tcW w:w="542" w:type="dxa"/>
          </w:tcPr>
          <w:p w14:paraId="791CF6C8">
            <w:pPr>
              <w:pStyle w:val="55"/>
              <w:rPr>
                <w:sz w:val="14"/>
                <w:szCs w:val="14"/>
              </w:rPr>
            </w:pPr>
          </w:p>
        </w:tc>
        <w:tc>
          <w:tcPr>
            <w:tcW w:w="544" w:type="dxa"/>
          </w:tcPr>
          <w:p w14:paraId="67344CAB">
            <w:pPr>
              <w:pStyle w:val="55"/>
              <w:rPr>
                <w:sz w:val="14"/>
                <w:szCs w:val="14"/>
              </w:rPr>
            </w:pPr>
          </w:p>
        </w:tc>
        <w:tc>
          <w:tcPr>
            <w:tcW w:w="544" w:type="dxa"/>
          </w:tcPr>
          <w:p w14:paraId="5C6E1941">
            <w:pPr>
              <w:pStyle w:val="55"/>
              <w:rPr>
                <w:sz w:val="14"/>
                <w:szCs w:val="14"/>
              </w:rPr>
            </w:pPr>
          </w:p>
        </w:tc>
        <w:tc>
          <w:tcPr>
            <w:tcW w:w="544" w:type="dxa"/>
          </w:tcPr>
          <w:p w14:paraId="06CBCA5A">
            <w:pPr>
              <w:pStyle w:val="55"/>
              <w:rPr>
                <w:sz w:val="14"/>
                <w:szCs w:val="14"/>
              </w:rPr>
            </w:pPr>
          </w:p>
        </w:tc>
        <w:tc>
          <w:tcPr>
            <w:tcW w:w="544" w:type="dxa"/>
          </w:tcPr>
          <w:p w14:paraId="531E9C36">
            <w:pPr>
              <w:pStyle w:val="55"/>
              <w:rPr>
                <w:sz w:val="14"/>
                <w:szCs w:val="14"/>
              </w:rPr>
            </w:pPr>
          </w:p>
        </w:tc>
        <w:tc>
          <w:tcPr>
            <w:tcW w:w="544" w:type="dxa"/>
          </w:tcPr>
          <w:p w14:paraId="585BA253">
            <w:pPr>
              <w:pStyle w:val="55"/>
              <w:rPr>
                <w:sz w:val="14"/>
                <w:szCs w:val="14"/>
              </w:rPr>
            </w:pPr>
          </w:p>
        </w:tc>
        <w:tc>
          <w:tcPr>
            <w:tcW w:w="544" w:type="dxa"/>
          </w:tcPr>
          <w:p w14:paraId="4E6F3AC5">
            <w:pPr>
              <w:pStyle w:val="55"/>
              <w:rPr>
                <w:sz w:val="14"/>
                <w:szCs w:val="14"/>
              </w:rPr>
            </w:pPr>
          </w:p>
        </w:tc>
        <w:tc>
          <w:tcPr>
            <w:tcW w:w="615" w:type="dxa"/>
          </w:tcPr>
          <w:p w14:paraId="1C2E71A2">
            <w:pPr>
              <w:pStyle w:val="55"/>
              <w:rPr>
                <w:sz w:val="14"/>
                <w:szCs w:val="14"/>
              </w:rPr>
            </w:pPr>
          </w:p>
        </w:tc>
        <w:tc>
          <w:tcPr>
            <w:tcW w:w="615" w:type="dxa"/>
          </w:tcPr>
          <w:p w14:paraId="3CCA1411">
            <w:pPr>
              <w:pStyle w:val="55"/>
              <w:rPr>
                <w:sz w:val="14"/>
                <w:szCs w:val="14"/>
              </w:rPr>
            </w:pPr>
          </w:p>
        </w:tc>
        <w:tc>
          <w:tcPr>
            <w:tcW w:w="615" w:type="dxa"/>
          </w:tcPr>
          <w:p w14:paraId="2F709D34">
            <w:pPr>
              <w:pStyle w:val="55"/>
              <w:rPr>
                <w:sz w:val="14"/>
                <w:szCs w:val="14"/>
              </w:rPr>
            </w:pPr>
          </w:p>
        </w:tc>
        <w:tc>
          <w:tcPr>
            <w:tcW w:w="615" w:type="dxa"/>
          </w:tcPr>
          <w:p w14:paraId="0E4BA33E">
            <w:pPr>
              <w:pStyle w:val="55"/>
              <w:rPr>
                <w:sz w:val="14"/>
                <w:szCs w:val="14"/>
              </w:rPr>
            </w:pPr>
          </w:p>
        </w:tc>
        <w:tc>
          <w:tcPr>
            <w:tcW w:w="615" w:type="dxa"/>
          </w:tcPr>
          <w:p w14:paraId="06C242B7">
            <w:pPr>
              <w:pStyle w:val="55"/>
              <w:rPr>
                <w:sz w:val="14"/>
                <w:szCs w:val="14"/>
              </w:rPr>
            </w:pPr>
          </w:p>
        </w:tc>
      </w:tr>
      <w:tr w14:paraId="2F99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696" w:type="dxa"/>
          </w:tcPr>
          <w:p w14:paraId="64C6DBDD">
            <w:pPr>
              <w:pStyle w:val="54"/>
              <w:rPr>
                <w:sz w:val="14"/>
                <w:szCs w:val="14"/>
              </w:rPr>
            </w:pPr>
            <w:r>
              <w:rPr>
                <w:sz w:val="14"/>
                <w:szCs w:val="14"/>
              </w:rPr>
              <w:t xml:space="preserve">#2 </w:t>
            </w:r>
          </w:p>
        </w:tc>
        <w:tc>
          <w:tcPr>
            <w:tcW w:w="567" w:type="dxa"/>
          </w:tcPr>
          <w:p w14:paraId="3BED99B5">
            <w:pPr>
              <w:pStyle w:val="55"/>
              <w:rPr>
                <w:sz w:val="14"/>
                <w:szCs w:val="14"/>
              </w:rPr>
            </w:pPr>
          </w:p>
        </w:tc>
        <w:tc>
          <w:tcPr>
            <w:tcW w:w="351" w:type="dxa"/>
          </w:tcPr>
          <w:p w14:paraId="252E883A">
            <w:pPr>
              <w:pStyle w:val="55"/>
              <w:rPr>
                <w:sz w:val="14"/>
                <w:szCs w:val="14"/>
              </w:rPr>
            </w:pPr>
          </w:p>
        </w:tc>
        <w:tc>
          <w:tcPr>
            <w:tcW w:w="542" w:type="dxa"/>
          </w:tcPr>
          <w:p w14:paraId="052CD9E3">
            <w:pPr>
              <w:pStyle w:val="55"/>
              <w:rPr>
                <w:sz w:val="14"/>
                <w:szCs w:val="14"/>
              </w:rPr>
            </w:pPr>
          </w:p>
        </w:tc>
        <w:tc>
          <w:tcPr>
            <w:tcW w:w="544" w:type="dxa"/>
          </w:tcPr>
          <w:p w14:paraId="24AF9183">
            <w:pPr>
              <w:pStyle w:val="55"/>
              <w:rPr>
                <w:sz w:val="14"/>
                <w:szCs w:val="14"/>
              </w:rPr>
            </w:pPr>
          </w:p>
        </w:tc>
        <w:tc>
          <w:tcPr>
            <w:tcW w:w="544" w:type="dxa"/>
          </w:tcPr>
          <w:p w14:paraId="7E6E2355">
            <w:pPr>
              <w:pStyle w:val="55"/>
              <w:rPr>
                <w:sz w:val="14"/>
                <w:szCs w:val="14"/>
              </w:rPr>
            </w:pPr>
          </w:p>
        </w:tc>
        <w:tc>
          <w:tcPr>
            <w:tcW w:w="544" w:type="dxa"/>
          </w:tcPr>
          <w:p w14:paraId="624E5E6D">
            <w:pPr>
              <w:pStyle w:val="55"/>
              <w:rPr>
                <w:sz w:val="14"/>
                <w:szCs w:val="14"/>
              </w:rPr>
            </w:pPr>
          </w:p>
        </w:tc>
        <w:tc>
          <w:tcPr>
            <w:tcW w:w="544" w:type="dxa"/>
          </w:tcPr>
          <w:p w14:paraId="738960D3">
            <w:pPr>
              <w:pStyle w:val="55"/>
              <w:rPr>
                <w:sz w:val="14"/>
                <w:szCs w:val="14"/>
              </w:rPr>
            </w:pPr>
          </w:p>
        </w:tc>
        <w:tc>
          <w:tcPr>
            <w:tcW w:w="544" w:type="dxa"/>
          </w:tcPr>
          <w:p w14:paraId="785467B3">
            <w:pPr>
              <w:pStyle w:val="55"/>
              <w:rPr>
                <w:sz w:val="14"/>
                <w:szCs w:val="14"/>
              </w:rPr>
            </w:pPr>
          </w:p>
        </w:tc>
        <w:tc>
          <w:tcPr>
            <w:tcW w:w="544" w:type="dxa"/>
          </w:tcPr>
          <w:p w14:paraId="591B3157">
            <w:pPr>
              <w:pStyle w:val="55"/>
              <w:rPr>
                <w:sz w:val="14"/>
                <w:szCs w:val="14"/>
              </w:rPr>
            </w:pPr>
          </w:p>
        </w:tc>
        <w:tc>
          <w:tcPr>
            <w:tcW w:w="615" w:type="dxa"/>
          </w:tcPr>
          <w:p w14:paraId="0340C56E">
            <w:pPr>
              <w:pStyle w:val="55"/>
              <w:rPr>
                <w:sz w:val="14"/>
                <w:szCs w:val="14"/>
              </w:rPr>
            </w:pPr>
          </w:p>
        </w:tc>
        <w:tc>
          <w:tcPr>
            <w:tcW w:w="615" w:type="dxa"/>
          </w:tcPr>
          <w:p w14:paraId="66E2B2DF">
            <w:pPr>
              <w:pStyle w:val="55"/>
              <w:rPr>
                <w:sz w:val="14"/>
                <w:szCs w:val="14"/>
              </w:rPr>
            </w:pPr>
          </w:p>
        </w:tc>
        <w:tc>
          <w:tcPr>
            <w:tcW w:w="615" w:type="dxa"/>
          </w:tcPr>
          <w:p w14:paraId="21F511C6">
            <w:pPr>
              <w:pStyle w:val="55"/>
              <w:rPr>
                <w:sz w:val="14"/>
                <w:szCs w:val="14"/>
              </w:rPr>
            </w:pPr>
          </w:p>
        </w:tc>
        <w:tc>
          <w:tcPr>
            <w:tcW w:w="615" w:type="dxa"/>
          </w:tcPr>
          <w:p w14:paraId="51B78D9B">
            <w:pPr>
              <w:pStyle w:val="55"/>
              <w:rPr>
                <w:sz w:val="14"/>
                <w:szCs w:val="14"/>
              </w:rPr>
            </w:pPr>
          </w:p>
        </w:tc>
        <w:tc>
          <w:tcPr>
            <w:tcW w:w="615" w:type="dxa"/>
          </w:tcPr>
          <w:p w14:paraId="09C04163">
            <w:pPr>
              <w:pStyle w:val="55"/>
              <w:rPr>
                <w:sz w:val="14"/>
                <w:szCs w:val="14"/>
              </w:rPr>
            </w:pPr>
          </w:p>
        </w:tc>
      </w:tr>
      <w:tr w14:paraId="7D75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696" w:type="dxa"/>
          </w:tcPr>
          <w:p w14:paraId="22F13CE1">
            <w:pPr>
              <w:pStyle w:val="54"/>
              <w:rPr>
                <w:sz w:val="14"/>
                <w:szCs w:val="14"/>
              </w:rPr>
            </w:pPr>
            <w:r>
              <w:rPr>
                <w:sz w:val="14"/>
                <w:szCs w:val="14"/>
              </w:rPr>
              <w:t xml:space="preserve">#3 </w:t>
            </w:r>
          </w:p>
        </w:tc>
        <w:tc>
          <w:tcPr>
            <w:tcW w:w="567" w:type="dxa"/>
          </w:tcPr>
          <w:p w14:paraId="1BB93D83">
            <w:pPr>
              <w:pStyle w:val="55"/>
              <w:rPr>
                <w:sz w:val="14"/>
                <w:szCs w:val="14"/>
              </w:rPr>
            </w:pPr>
          </w:p>
        </w:tc>
        <w:tc>
          <w:tcPr>
            <w:tcW w:w="351" w:type="dxa"/>
          </w:tcPr>
          <w:p w14:paraId="2C797FCA">
            <w:pPr>
              <w:pStyle w:val="55"/>
              <w:rPr>
                <w:sz w:val="14"/>
                <w:szCs w:val="14"/>
              </w:rPr>
            </w:pPr>
          </w:p>
        </w:tc>
        <w:tc>
          <w:tcPr>
            <w:tcW w:w="542" w:type="dxa"/>
          </w:tcPr>
          <w:p w14:paraId="4C2840DF">
            <w:pPr>
              <w:pStyle w:val="55"/>
              <w:rPr>
                <w:sz w:val="14"/>
                <w:szCs w:val="14"/>
              </w:rPr>
            </w:pPr>
          </w:p>
        </w:tc>
        <w:tc>
          <w:tcPr>
            <w:tcW w:w="544" w:type="dxa"/>
          </w:tcPr>
          <w:p w14:paraId="3F4D98B5">
            <w:pPr>
              <w:pStyle w:val="55"/>
              <w:rPr>
                <w:sz w:val="14"/>
                <w:szCs w:val="14"/>
              </w:rPr>
            </w:pPr>
          </w:p>
        </w:tc>
        <w:tc>
          <w:tcPr>
            <w:tcW w:w="544" w:type="dxa"/>
          </w:tcPr>
          <w:p w14:paraId="1EE82E99">
            <w:pPr>
              <w:pStyle w:val="55"/>
              <w:rPr>
                <w:sz w:val="14"/>
                <w:szCs w:val="14"/>
              </w:rPr>
            </w:pPr>
          </w:p>
        </w:tc>
        <w:tc>
          <w:tcPr>
            <w:tcW w:w="544" w:type="dxa"/>
          </w:tcPr>
          <w:p w14:paraId="4C506B10">
            <w:pPr>
              <w:pStyle w:val="55"/>
              <w:rPr>
                <w:sz w:val="14"/>
                <w:szCs w:val="14"/>
              </w:rPr>
            </w:pPr>
          </w:p>
        </w:tc>
        <w:tc>
          <w:tcPr>
            <w:tcW w:w="544" w:type="dxa"/>
          </w:tcPr>
          <w:p w14:paraId="44282997">
            <w:pPr>
              <w:pStyle w:val="55"/>
              <w:rPr>
                <w:sz w:val="14"/>
                <w:szCs w:val="14"/>
              </w:rPr>
            </w:pPr>
          </w:p>
        </w:tc>
        <w:tc>
          <w:tcPr>
            <w:tcW w:w="544" w:type="dxa"/>
          </w:tcPr>
          <w:p w14:paraId="53D06B75">
            <w:pPr>
              <w:pStyle w:val="55"/>
              <w:rPr>
                <w:sz w:val="14"/>
                <w:szCs w:val="14"/>
              </w:rPr>
            </w:pPr>
          </w:p>
        </w:tc>
        <w:tc>
          <w:tcPr>
            <w:tcW w:w="544" w:type="dxa"/>
          </w:tcPr>
          <w:p w14:paraId="7DB74D07">
            <w:pPr>
              <w:pStyle w:val="55"/>
              <w:rPr>
                <w:sz w:val="14"/>
                <w:szCs w:val="14"/>
              </w:rPr>
            </w:pPr>
          </w:p>
        </w:tc>
        <w:tc>
          <w:tcPr>
            <w:tcW w:w="615" w:type="dxa"/>
          </w:tcPr>
          <w:p w14:paraId="7C130A76">
            <w:pPr>
              <w:pStyle w:val="55"/>
              <w:rPr>
                <w:sz w:val="14"/>
                <w:szCs w:val="14"/>
              </w:rPr>
            </w:pPr>
          </w:p>
        </w:tc>
        <w:tc>
          <w:tcPr>
            <w:tcW w:w="615" w:type="dxa"/>
          </w:tcPr>
          <w:p w14:paraId="01855A11">
            <w:pPr>
              <w:pStyle w:val="55"/>
              <w:rPr>
                <w:sz w:val="14"/>
                <w:szCs w:val="14"/>
              </w:rPr>
            </w:pPr>
          </w:p>
        </w:tc>
        <w:tc>
          <w:tcPr>
            <w:tcW w:w="615" w:type="dxa"/>
          </w:tcPr>
          <w:p w14:paraId="73DCE1C4">
            <w:pPr>
              <w:pStyle w:val="55"/>
              <w:rPr>
                <w:sz w:val="14"/>
                <w:szCs w:val="14"/>
              </w:rPr>
            </w:pPr>
          </w:p>
        </w:tc>
        <w:tc>
          <w:tcPr>
            <w:tcW w:w="615" w:type="dxa"/>
          </w:tcPr>
          <w:p w14:paraId="7BCE00C1">
            <w:pPr>
              <w:pStyle w:val="55"/>
              <w:rPr>
                <w:sz w:val="14"/>
                <w:szCs w:val="14"/>
              </w:rPr>
            </w:pPr>
          </w:p>
        </w:tc>
        <w:tc>
          <w:tcPr>
            <w:tcW w:w="615" w:type="dxa"/>
          </w:tcPr>
          <w:p w14:paraId="28FFEEB7">
            <w:pPr>
              <w:pStyle w:val="55"/>
              <w:rPr>
                <w:sz w:val="14"/>
                <w:szCs w:val="14"/>
              </w:rPr>
            </w:pPr>
          </w:p>
        </w:tc>
      </w:tr>
    </w:tbl>
    <w:p w14:paraId="267C01D8"/>
    <w:p w14:paraId="7E5F91B5">
      <w:pPr>
        <w:pStyle w:val="2"/>
      </w:pPr>
      <w:r>
        <w:t>A.2</w:t>
      </w:r>
      <w:r>
        <w:tab/>
      </w:r>
      <w:r>
        <w:t>Mapping between Key Issues and Solutions</w:t>
      </w:r>
    </w:p>
    <w:p w14:paraId="3365CF94">
      <w:pPr>
        <w:pStyle w:val="58"/>
        <w:rPr>
          <w:rFonts w:eastAsiaTheme="minorEastAsia"/>
        </w:rPr>
      </w:pPr>
      <w:r>
        <w:rPr>
          <w:rFonts w:eastAsiaTheme="minorEastAsia"/>
        </w:rPr>
        <w:t>Table A.3-1: Mapping of Solutions to Key Issues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14:paraId="1934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restart"/>
            <w:tcBorders>
              <w:top w:val="single" w:color="auto" w:sz="4" w:space="0"/>
              <w:left w:val="single" w:color="auto" w:sz="4" w:space="0"/>
              <w:right w:val="single" w:color="auto" w:sz="4" w:space="0"/>
            </w:tcBorders>
          </w:tcPr>
          <w:p w14:paraId="63D9404C">
            <w:pPr>
              <w:pStyle w:val="54"/>
              <w:rPr>
                <w:rFonts w:eastAsia="等线"/>
                <w:lang w:eastAsia="zh-CN"/>
              </w:rPr>
            </w:pPr>
            <w:r>
              <w:rPr>
                <w:rFonts w:eastAsia="等线"/>
                <w:lang w:eastAsia="zh-CN"/>
              </w:rPr>
              <w:t>Solutions</w:t>
            </w:r>
          </w:p>
        </w:tc>
        <w:tc>
          <w:tcPr>
            <w:tcW w:w="8593" w:type="dxa"/>
            <w:gridSpan w:val="19"/>
            <w:tcBorders>
              <w:top w:val="single" w:color="auto" w:sz="4" w:space="0"/>
              <w:left w:val="single" w:color="auto" w:sz="4" w:space="0"/>
              <w:bottom w:val="single" w:color="auto" w:sz="4" w:space="0"/>
              <w:right w:val="single" w:color="auto" w:sz="4" w:space="0"/>
            </w:tcBorders>
          </w:tcPr>
          <w:p w14:paraId="20849427">
            <w:pPr>
              <w:pStyle w:val="54"/>
              <w:rPr>
                <w:rFonts w:eastAsia="等线"/>
                <w:lang w:eastAsia="zh-CN"/>
              </w:rPr>
            </w:pPr>
            <w:r>
              <w:rPr>
                <w:rFonts w:eastAsia="等线"/>
                <w:lang w:eastAsia="zh-CN"/>
              </w:rPr>
              <w:t>Key Issues</w:t>
            </w:r>
          </w:p>
        </w:tc>
      </w:tr>
      <w:tr w14:paraId="5A18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continue"/>
            <w:tcBorders>
              <w:left w:val="single" w:color="auto" w:sz="4" w:space="0"/>
              <w:bottom w:val="single" w:color="auto" w:sz="4" w:space="0"/>
              <w:right w:val="single" w:color="auto" w:sz="4" w:space="0"/>
            </w:tcBorders>
          </w:tcPr>
          <w:p w14:paraId="0B9D480B">
            <w:pPr>
              <w:pStyle w:val="54"/>
              <w:rPr>
                <w:rFonts w:eastAsia="等线"/>
                <w:lang w:eastAsia="zh-CN"/>
              </w:rPr>
            </w:pPr>
          </w:p>
        </w:tc>
        <w:tc>
          <w:tcPr>
            <w:tcW w:w="787" w:type="dxa"/>
            <w:tcBorders>
              <w:top w:val="single" w:color="auto" w:sz="4" w:space="0"/>
              <w:left w:val="single" w:color="auto" w:sz="4" w:space="0"/>
              <w:bottom w:val="single" w:color="auto" w:sz="4" w:space="0"/>
              <w:right w:val="single" w:color="auto" w:sz="4" w:space="0"/>
            </w:tcBorders>
          </w:tcPr>
          <w:p w14:paraId="2BE17449">
            <w:pPr>
              <w:pStyle w:val="54"/>
              <w:rPr>
                <w:rFonts w:eastAsia="等线"/>
                <w:lang w:eastAsia="zh-CN"/>
              </w:rPr>
            </w:pPr>
            <w:r>
              <w:rPr>
                <w:rFonts w:eastAsia="等线"/>
                <w:lang w:eastAsia="zh-CN"/>
              </w:rPr>
              <w:t>#P</w:t>
            </w:r>
          </w:p>
        </w:tc>
        <w:tc>
          <w:tcPr>
            <w:tcW w:w="457" w:type="dxa"/>
            <w:tcBorders>
              <w:top w:val="single" w:color="auto" w:sz="4" w:space="0"/>
              <w:left w:val="single" w:color="auto" w:sz="4" w:space="0"/>
              <w:bottom w:val="single" w:color="auto" w:sz="4" w:space="0"/>
              <w:right w:val="single" w:color="auto" w:sz="4" w:space="0"/>
            </w:tcBorders>
          </w:tcPr>
          <w:p w14:paraId="0336E765">
            <w:pPr>
              <w:pStyle w:val="54"/>
              <w:rPr>
                <w:rFonts w:eastAsia="等线"/>
                <w:lang w:eastAsia="zh-CN"/>
              </w:rPr>
            </w:pPr>
            <w:r>
              <w:rPr>
                <w:rFonts w:eastAsia="等线"/>
                <w:lang w:eastAsia="zh-CN"/>
              </w:rPr>
              <w:t>#Q</w:t>
            </w:r>
          </w:p>
        </w:tc>
        <w:tc>
          <w:tcPr>
            <w:tcW w:w="430" w:type="dxa"/>
            <w:tcBorders>
              <w:top w:val="single" w:color="auto" w:sz="4" w:space="0"/>
              <w:left w:val="single" w:color="auto" w:sz="4" w:space="0"/>
              <w:bottom w:val="single" w:color="auto" w:sz="4" w:space="0"/>
              <w:right w:val="single" w:color="auto" w:sz="4" w:space="0"/>
            </w:tcBorders>
          </w:tcPr>
          <w:p w14:paraId="6C57BD1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FF2747">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2B79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E9B06BD">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5E2812">
            <w:pPr>
              <w:pStyle w:val="54"/>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73342935">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31DBB09">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9D0796">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38CBA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AE8939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71DE5E">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6C9AF0">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F80940B">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2BC664D">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AD7EEC">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AEB139A">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75BDC21">
            <w:pPr>
              <w:pStyle w:val="54"/>
              <w:rPr>
                <w:rFonts w:eastAsia="等线"/>
                <w:lang w:eastAsia="zh-CN"/>
              </w:rPr>
            </w:pPr>
          </w:p>
        </w:tc>
      </w:tr>
      <w:tr w14:paraId="3CB61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7EF28CF9">
            <w:pPr>
              <w:pStyle w:val="54"/>
              <w:rPr>
                <w:rFonts w:eastAsia="等线"/>
                <w:lang w:eastAsia="zh-CN"/>
              </w:rPr>
            </w:pPr>
            <w:r>
              <w:rPr>
                <w:rFonts w:eastAsia="等线"/>
                <w:lang w:eastAsia="zh-CN"/>
              </w:rPr>
              <w:t>#X</w:t>
            </w:r>
          </w:p>
        </w:tc>
        <w:tc>
          <w:tcPr>
            <w:tcW w:w="787" w:type="dxa"/>
            <w:tcBorders>
              <w:top w:val="single" w:color="auto" w:sz="4" w:space="0"/>
              <w:left w:val="single" w:color="auto" w:sz="4" w:space="0"/>
              <w:bottom w:val="single" w:color="auto" w:sz="4" w:space="0"/>
              <w:right w:val="single" w:color="auto" w:sz="4" w:space="0"/>
            </w:tcBorders>
          </w:tcPr>
          <w:p w14:paraId="3A171F66">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241C581C">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6E6CEBA8">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982CA">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33B7BD7">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0AB5A1">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1E6C91D">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3DBE3F7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695A1A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567734F">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CBF904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0E503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C27AA0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8B22E1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9F5C5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AA60E4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F7DCA9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D23A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71B486C">
            <w:pPr>
              <w:pStyle w:val="55"/>
              <w:rPr>
                <w:rFonts w:eastAsia="等线"/>
                <w:lang w:eastAsia="zh-CN"/>
              </w:rPr>
            </w:pPr>
          </w:p>
        </w:tc>
      </w:tr>
      <w:tr w14:paraId="4DB3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319FD8F1">
            <w:pPr>
              <w:pStyle w:val="54"/>
              <w:rPr>
                <w:rFonts w:eastAsia="等线"/>
                <w:lang w:eastAsia="zh-CN"/>
              </w:rPr>
            </w:pPr>
            <w:r>
              <w:rPr>
                <w:rFonts w:eastAsia="等线"/>
                <w:lang w:eastAsia="zh-CN"/>
              </w:rPr>
              <w:t>#Y</w:t>
            </w:r>
          </w:p>
        </w:tc>
        <w:tc>
          <w:tcPr>
            <w:tcW w:w="787" w:type="dxa"/>
            <w:tcBorders>
              <w:top w:val="single" w:color="auto" w:sz="4" w:space="0"/>
              <w:left w:val="single" w:color="auto" w:sz="4" w:space="0"/>
              <w:bottom w:val="single" w:color="auto" w:sz="4" w:space="0"/>
              <w:right w:val="single" w:color="auto" w:sz="4" w:space="0"/>
            </w:tcBorders>
          </w:tcPr>
          <w:p w14:paraId="5C526400">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5FD334A8">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4497F702">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4EBE9BC">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39729B40">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BACACD">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25031189">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01C4806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A7DA0E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931A2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5E752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0C0205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5A4BF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53B04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19E4EC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4066E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EB7AFFD">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7E7461E">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E79B221">
            <w:pPr>
              <w:pStyle w:val="55"/>
              <w:rPr>
                <w:rFonts w:eastAsia="等线"/>
                <w:lang w:eastAsia="zh-CN"/>
              </w:rPr>
            </w:pPr>
          </w:p>
        </w:tc>
      </w:tr>
    </w:tbl>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7670C"/>
    <w:rsid w:val="000841C6"/>
    <w:rsid w:val="00092108"/>
    <w:rsid w:val="000B59EB"/>
    <w:rsid w:val="000D6254"/>
    <w:rsid w:val="000E1C4C"/>
    <w:rsid w:val="0010504F"/>
    <w:rsid w:val="00111134"/>
    <w:rsid w:val="001152C8"/>
    <w:rsid w:val="001169EF"/>
    <w:rsid w:val="001227FF"/>
    <w:rsid w:val="0012494A"/>
    <w:rsid w:val="001604A8"/>
    <w:rsid w:val="00167EFD"/>
    <w:rsid w:val="00187CE4"/>
    <w:rsid w:val="001B093A"/>
    <w:rsid w:val="001B09D9"/>
    <w:rsid w:val="001C5CF1"/>
    <w:rsid w:val="001D48D5"/>
    <w:rsid w:val="00214DF0"/>
    <w:rsid w:val="00220791"/>
    <w:rsid w:val="002474B7"/>
    <w:rsid w:val="00250362"/>
    <w:rsid w:val="00266561"/>
    <w:rsid w:val="00276850"/>
    <w:rsid w:val="0028054E"/>
    <w:rsid w:val="002D4AE7"/>
    <w:rsid w:val="002D6214"/>
    <w:rsid w:val="002F57F7"/>
    <w:rsid w:val="00304A54"/>
    <w:rsid w:val="003071D7"/>
    <w:rsid w:val="00317E0F"/>
    <w:rsid w:val="003268EC"/>
    <w:rsid w:val="003D3FEE"/>
    <w:rsid w:val="003E5E77"/>
    <w:rsid w:val="004054C1"/>
    <w:rsid w:val="00420D26"/>
    <w:rsid w:val="0044235F"/>
    <w:rsid w:val="00446AE4"/>
    <w:rsid w:val="00446DFB"/>
    <w:rsid w:val="004721C0"/>
    <w:rsid w:val="004A151A"/>
    <w:rsid w:val="004A77C7"/>
    <w:rsid w:val="004B6925"/>
    <w:rsid w:val="004B769F"/>
    <w:rsid w:val="004C313B"/>
    <w:rsid w:val="004D2240"/>
    <w:rsid w:val="004E2F92"/>
    <w:rsid w:val="004F29F6"/>
    <w:rsid w:val="0051513A"/>
    <w:rsid w:val="0051688C"/>
    <w:rsid w:val="00526772"/>
    <w:rsid w:val="00535FEC"/>
    <w:rsid w:val="00575A58"/>
    <w:rsid w:val="00584298"/>
    <w:rsid w:val="00593E9E"/>
    <w:rsid w:val="005C3C81"/>
    <w:rsid w:val="005D1487"/>
    <w:rsid w:val="00600CC0"/>
    <w:rsid w:val="00653E2A"/>
    <w:rsid w:val="00664EB8"/>
    <w:rsid w:val="006830AD"/>
    <w:rsid w:val="0069541A"/>
    <w:rsid w:val="006B621B"/>
    <w:rsid w:val="006C0A8E"/>
    <w:rsid w:val="006C225A"/>
    <w:rsid w:val="006E0F12"/>
    <w:rsid w:val="006E1280"/>
    <w:rsid w:val="00711F26"/>
    <w:rsid w:val="00717CB4"/>
    <w:rsid w:val="0073515D"/>
    <w:rsid w:val="00740324"/>
    <w:rsid w:val="0074212B"/>
    <w:rsid w:val="00742FCB"/>
    <w:rsid w:val="0074788B"/>
    <w:rsid w:val="00780A06"/>
    <w:rsid w:val="00785301"/>
    <w:rsid w:val="00793D77"/>
    <w:rsid w:val="007E3CF8"/>
    <w:rsid w:val="00802641"/>
    <w:rsid w:val="00805AB6"/>
    <w:rsid w:val="008076B6"/>
    <w:rsid w:val="00810C37"/>
    <w:rsid w:val="00811C5B"/>
    <w:rsid w:val="008171CF"/>
    <w:rsid w:val="00824D19"/>
    <w:rsid w:val="0082707E"/>
    <w:rsid w:val="00827E26"/>
    <w:rsid w:val="00842229"/>
    <w:rsid w:val="0085201E"/>
    <w:rsid w:val="008609BF"/>
    <w:rsid w:val="00875FA3"/>
    <w:rsid w:val="008864EE"/>
    <w:rsid w:val="00896317"/>
    <w:rsid w:val="008B1673"/>
    <w:rsid w:val="008B4AAF"/>
    <w:rsid w:val="009158D2"/>
    <w:rsid w:val="009255E7"/>
    <w:rsid w:val="0094216E"/>
    <w:rsid w:val="00943C2B"/>
    <w:rsid w:val="00956964"/>
    <w:rsid w:val="00956E21"/>
    <w:rsid w:val="009613B4"/>
    <w:rsid w:val="00973581"/>
    <w:rsid w:val="00982BA7"/>
    <w:rsid w:val="00990DE3"/>
    <w:rsid w:val="00995C58"/>
    <w:rsid w:val="009A0899"/>
    <w:rsid w:val="009A21B0"/>
    <w:rsid w:val="009B5CE1"/>
    <w:rsid w:val="009C1282"/>
    <w:rsid w:val="009C236D"/>
    <w:rsid w:val="00A117D5"/>
    <w:rsid w:val="00A15DE9"/>
    <w:rsid w:val="00A22104"/>
    <w:rsid w:val="00A34787"/>
    <w:rsid w:val="00A44B2E"/>
    <w:rsid w:val="00A57E92"/>
    <w:rsid w:val="00A67DAD"/>
    <w:rsid w:val="00A7277A"/>
    <w:rsid w:val="00A841C9"/>
    <w:rsid w:val="00AA3DBE"/>
    <w:rsid w:val="00AA6566"/>
    <w:rsid w:val="00AA7E59"/>
    <w:rsid w:val="00AB6990"/>
    <w:rsid w:val="00AB7F8F"/>
    <w:rsid w:val="00AD5ED5"/>
    <w:rsid w:val="00AE35AD"/>
    <w:rsid w:val="00AF2709"/>
    <w:rsid w:val="00B05360"/>
    <w:rsid w:val="00B36038"/>
    <w:rsid w:val="00B41104"/>
    <w:rsid w:val="00B4673E"/>
    <w:rsid w:val="00B54590"/>
    <w:rsid w:val="00B61CD8"/>
    <w:rsid w:val="00B775A0"/>
    <w:rsid w:val="00BA4BE2"/>
    <w:rsid w:val="00BB0383"/>
    <w:rsid w:val="00BB6C44"/>
    <w:rsid w:val="00BC0E70"/>
    <w:rsid w:val="00BC156C"/>
    <w:rsid w:val="00BC503F"/>
    <w:rsid w:val="00BD1620"/>
    <w:rsid w:val="00BE1BDC"/>
    <w:rsid w:val="00BF09DF"/>
    <w:rsid w:val="00BF3721"/>
    <w:rsid w:val="00C44D05"/>
    <w:rsid w:val="00C601CB"/>
    <w:rsid w:val="00C611CF"/>
    <w:rsid w:val="00C67ABB"/>
    <w:rsid w:val="00C86F41"/>
    <w:rsid w:val="00C87441"/>
    <w:rsid w:val="00C93D83"/>
    <w:rsid w:val="00C9644D"/>
    <w:rsid w:val="00CC4471"/>
    <w:rsid w:val="00CE781D"/>
    <w:rsid w:val="00CF32D8"/>
    <w:rsid w:val="00CF7FB7"/>
    <w:rsid w:val="00D07287"/>
    <w:rsid w:val="00D21C04"/>
    <w:rsid w:val="00D26906"/>
    <w:rsid w:val="00D318B2"/>
    <w:rsid w:val="00D34AD3"/>
    <w:rsid w:val="00D41531"/>
    <w:rsid w:val="00D47AC2"/>
    <w:rsid w:val="00D50482"/>
    <w:rsid w:val="00D55FB4"/>
    <w:rsid w:val="00D61D7B"/>
    <w:rsid w:val="00D63136"/>
    <w:rsid w:val="00D7427D"/>
    <w:rsid w:val="00D82F47"/>
    <w:rsid w:val="00DA0140"/>
    <w:rsid w:val="00DF4192"/>
    <w:rsid w:val="00E06393"/>
    <w:rsid w:val="00E1464D"/>
    <w:rsid w:val="00E1787B"/>
    <w:rsid w:val="00E24818"/>
    <w:rsid w:val="00E25D01"/>
    <w:rsid w:val="00E45439"/>
    <w:rsid w:val="00E5455E"/>
    <w:rsid w:val="00E54C0A"/>
    <w:rsid w:val="00E62061"/>
    <w:rsid w:val="00E72992"/>
    <w:rsid w:val="00E80CE4"/>
    <w:rsid w:val="00E90BC0"/>
    <w:rsid w:val="00EA6271"/>
    <w:rsid w:val="00EB40BA"/>
    <w:rsid w:val="00EC4FDE"/>
    <w:rsid w:val="00ED4CD7"/>
    <w:rsid w:val="00EF2882"/>
    <w:rsid w:val="00F21090"/>
    <w:rsid w:val="00F30FD1"/>
    <w:rsid w:val="00F431B2"/>
    <w:rsid w:val="00F539D4"/>
    <w:rsid w:val="00F57C87"/>
    <w:rsid w:val="00F6525A"/>
    <w:rsid w:val="00F65B36"/>
    <w:rsid w:val="00F663E1"/>
    <w:rsid w:val="00F705F6"/>
    <w:rsid w:val="00F725B2"/>
    <w:rsid w:val="00FB1A54"/>
    <w:rsid w:val="00FB40D6"/>
    <w:rsid w:val="00FD2B15"/>
    <w:rsid w:val="00FD36A3"/>
    <w:rsid w:val="00FF730F"/>
    <w:rsid w:val="01680C5E"/>
    <w:rsid w:val="01891193"/>
    <w:rsid w:val="02034E23"/>
    <w:rsid w:val="021B0EF2"/>
    <w:rsid w:val="02C34085"/>
    <w:rsid w:val="03E66A74"/>
    <w:rsid w:val="0458580D"/>
    <w:rsid w:val="04CD3654"/>
    <w:rsid w:val="084D5F4D"/>
    <w:rsid w:val="088E0696"/>
    <w:rsid w:val="08CA4C78"/>
    <w:rsid w:val="08DD4B2A"/>
    <w:rsid w:val="09246501"/>
    <w:rsid w:val="09575C4D"/>
    <w:rsid w:val="09993220"/>
    <w:rsid w:val="09A8018A"/>
    <w:rsid w:val="0A2569C5"/>
    <w:rsid w:val="0A4A6F54"/>
    <w:rsid w:val="0A4B77A0"/>
    <w:rsid w:val="0B17311C"/>
    <w:rsid w:val="0B250BAE"/>
    <w:rsid w:val="0B8F0122"/>
    <w:rsid w:val="0BA076AD"/>
    <w:rsid w:val="0BC70F46"/>
    <w:rsid w:val="0D003464"/>
    <w:rsid w:val="0D576FA9"/>
    <w:rsid w:val="0DEB68E4"/>
    <w:rsid w:val="0DF86616"/>
    <w:rsid w:val="0E041A0C"/>
    <w:rsid w:val="0E062050"/>
    <w:rsid w:val="0E3746E5"/>
    <w:rsid w:val="0ED07E5C"/>
    <w:rsid w:val="0F4A5BA4"/>
    <w:rsid w:val="0FF77685"/>
    <w:rsid w:val="101D7AFE"/>
    <w:rsid w:val="106A208B"/>
    <w:rsid w:val="107A1F72"/>
    <w:rsid w:val="1090155C"/>
    <w:rsid w:val="112E6EBB"/>
    <w:rsid w:val="118956E7"/>
    <w:rsid w:val="11B24841"/>
    <w:rsid w:val="11EC522D"/>
    <w:rsid w:val="11F70688"/>
    <w:rsid w:val="12394975"/>
    <w:rsid w:val="128C72B4"/>
    <w:rsid w:val="1295728D"/>
    <w:rsid w:val="12C614E8"/>
    <w:rsid w:val="13725976"/>
    <w:rsid w:val="1373053C"/>
    <w:rsid w:val="13A670CA"/>
    <w:rsid w:val="14A26281"/>
    <w:rsid w:val="15024C97"/>
    <w:rsid w:val="153041A6"/>
    <w:rsid w:val="15523360"/>
    <w:rsid w:val="15A00DC2"/>
    <w:rsid w:val="17221443"/>
    <w:rsid w:val="177E21A4"/>
    <w:rsid w:val="17DD0A7A"/>
    <w:rsid w:val="195F7C30"/>
    <w:rsid w:val="198E19EC"/>
    <w:rsid w:val="19F5000A"/>
    <w:rsid w:val="1A0D324C"/>
    <w:rsid w:val="1B495788"/>
    <w:rsid w:val="1BDB2542"/>
    <w:rsid w:val="1BF451CD"/>
    <w:rsid w:val="1C091D8D"/>
    <w:rsid w:val="1CBD3C6A"/>
    <w:rsid w:val="1CF57A8F"/>
    <w:rsid w:val="1D222970"/>
    <w:rsid w:val="1D756C35"/>
    <w:rsid w:val="1D806164"/>
    <w:rsid w:val="1D854F62"/>
    <w:rsid w:val="1D8E0577"/>
    <w:rsid w:val="1E1B2A71"/>
    <w:rsid w:val="1E72493D"/>
    <w:rsid w:val="1E7A4110"/>
    <w:rsid w:val="1E8B62E2"/>
    <w:rsid w:val="1EF83782"/>
    <w:rsid w:val="1F055CE3"/>
    <w:rsid w:val="1F0771F7"/>
    <w:rsid w:val="1F212DDF"/>
    <w:rsid w:val="1FD72DA6"/>
    <w:rsid w:val="20016E9F"/>
    <w:rsid w:val="207728D1"/>
    <w:rsid w:val="20D234E6"/>
    <w:rsid w:val="20EA1769"/>
    <w:rsid w:val="2124626D"/>
    <w:rsid w:val="216827F1"/>
    <w:rsid w:val="21B6105F"/>
    <w:rsid w:val="237F470C"/>
    <w:rsid w:val="247B506A"/>
    <w:rsid w:val="262C38EB"/>
    <w:rsid w:val="2690611C"/>
    <w:rsid w:val="26AF453E"/>
    <w:rsid w:val="26B12C2C"/>
    <w:rsid w:val="26B63CA1"/>
    <w:rsid w:val="26F61EFB"/>
    <w:rsid w:val="270B09C4"/>
    <w:rsid w:val="27747CB6"/>
    <w:rsid w:val="279C5438"/>
    <w:rsid w:val="27A20A97"/>
    <w:rsid w:val="289406A2"/>
    <w:rsid w:val="290E23A4"/>
    <w:rsid w:val="294A397A"/>
    <w:rsid w:val="29975559"/>
    <w:rsid w:val="29FB5DB9"/>
    <w:rsid w:val="2A574444"/>
    <w:rsid w:val="2A7F1496"/>
    <w:rsid w:val="2AA24C88"/>
    <w:rsid w:val="2B044D71"/>
    <w:rsid w:val="2B1E12BC"/>
    <w:rsid w:val="2B225799"/>
    <w:rsid w:val="2B4F7D3E"/>
    <w:rsid w:val="2BBB56F6"/>
    <w:rsid w:val="2C5A1CD2"/>
    <w:rsid w:val="2C602447"/>
    <w:rsid w:val="2C9A34F8"/>
    <w:rsid w:val="2CFD6DC0"/>
    <w:rsid w:val="2D303EC8"/>
    <w:rsid w:val="2D382D71"/>
    <w:rsid w:val="2E13000A"/>
    <w:rsid w:val="2E1B70E9"/>
    <w:rsid w:val="2E32151A"/>
    <w:rsid w:val="2E517468"/>
    <w:rsid w:val="2F171C9D"/>
    <w:rsid w:val="2F3F6D74"/>
    <w:rsid w:val="2F4A23A5"/>
    <w:rsid w:val="30340BF5"/>
    <w:rsid w:val="304D1306"/>
    <w:rsid w:val="308333A6"/>
    <w:rsid w:val="31045716"/>
    <w:rsid w:val="31236380"/>
    <w:rsid w:val="317C5C8C"/>
    <w:rsid w:val="31837ABD"/>
    <w:rsid w:val="318F7BD4"/>
    <w:rsid w:val="321C75E9"/>
    <w:rsid w:val="32785148"/>
    <w:rsid w:val="327C0C9B"/>
    <w:rsid w:val="349E40E0"/>
    <w:rsid w:val="34AC731F"/>
    <w:rsid w:val="34B064B9"/>
    <w:rsid w:val="34C87303"/>
    <w:rsid w:val="34E53962"/>
    <w:rsid w:val="351C27B0"/>
    <w:rsid w:val="352C3FC8"/>
    <w:rsid w:val="357069B7"/>
    <w:rsid w:val="360A0D3D"/>
    <w:rsid w:val="37266088"/>
    <w:rsid w:val="374B1CF6"/>
    <w:rsid w:val="37F479DA"/>
    <w:rsid w:val="38026CF0"/>
    <w:rsid w:val="38C116AD"/>
    <w:rsid w:val="393E0C76"/>
    <w:rsid w:val="39D6666B"/>
    <w:rsid w:val="39E12011"/>
    <w:rsid w:val="3A6724BC"/>
    <w:rsid w:val="3A751FF8"/>
    <w:rsid w:val="3B1B48C3"/>
    <w:rsid w:val="3B344A3C"/>
    <w:rsid w:val="3B555A2E"/>
    <w:rsid w:val="3B992811"/>
    <w:rsid w:val="3C75071A"/>
    <w:rsid w:val="3CE73FFB"/>
    <w:rsid w:val="3CEA3F3E"/>
    <w:rsid w:val="3D4C5F1D"/>
    <w:rsid w:val="3F246E28"/>
    <w:rsid w:val="3F2665DB"/>
    <w:rsid w:val="3F855340"/>
    <w:rsid w:val="3FA6711C"/>
    <w:rsid w:val="40F62955"/>
    <w:rsid w:val="41A832C4"/>
    <w:rsid w:val="42406AE6"/>
    <w:rsid w:val="429D0359"/>
    <w:rsid w:val="44126C12"/>
    <w:rsid w:val="44AD6911"/>
    <w:rsid w:val="454937BA"/>
    <w:rsid w:val="4564347D"/>
    <w:rsid w:val="456C1863"/>
    <w:rsid w:val="45E45D6C"/>
    <w:rsid w:val="4603066A"/>
    <w:rsid w:val="46942157"/>
    <w:rsid w:val="472707CD"/>
    <w:rsid w:val="47412287"/>
    <w:rsid w:val="47800E5B"/>
    <w:rsid w:val="47CD093E"/>
    <w:rsid w:val="481E765C"/>
    <w:rsid w:val="48FB1A87"/>
    <w:rsid w:val="494278AB"/>
    <w:rsid w:val="49635A3D"/>
    <w:rsid w:val="4A6F152E"/>
    <w:rsid w:val="4A8C7838"/>
    <w:rsid w:val="4ABD76A3"/>
    <w:rsid w:val="4B451499"/>
    <w:rsid w:val="4BD56877"/>
    <w:rsid w:val="4C143DDD"/>
    <w:rsid w:val="4CAB258D"/>
    <w:rsid w:val="4CB074DF"/>
    <w:rsid w:val="4CDB5DA5"/>
    <w:rsid w:val="4D23575F"/>
    <w:rsid w:val="4D2F3A60"/>
    <w:rsid w:val="4D834470"/>
    <w:rsid w:val="4D8D144B"/>
    <w:rsid w:val="4DA954F8"/>
    <w:rsid w:val="4DC849DA"/>
    <w:rsid w:val="4F391765"/>
    <w:rsid w:val="4F6B78DB"/>
    <w:rsid w:val="4FE528A4"/>
    <w:rsid w:val="50B15470"/>
    <w:rsid w:val="513F61A5"/>
    <w:rsid w:val="52B85BC6"/>
    <w:rsid w:val="52DC127D"/>
    <w:rsid w:val="534F3992"/>
    <w:rsid w:val="535A0236"/>
    <w:rsid w:val="54F85E13"/>
    <w:rsid w:val="550259DF"/>
    <w:rsid w:val="55AF2A84"/>
    <w:rsid w:val="56635347"/>
    <w:rsid w:val="56E53CCF"/>
    <w:rsid w:val="577B33D6"/>
    <w:rsid w:val="57A85FDD"/>
    <w:rsid w:val="584026D9"/>
    <w:rsid w:val="58547A61"/>
    <w:rsid w:val="58CE3242"/>
    <w:rsid w:val="58F94086"/>
    <w:rsid w:val="59514F24"/>
    <w:rsid w:val="5A006E37"/>
    <w:rsid w:val="5C1E54E6"/>
    <w:rsid w:val="5C465896"/>
    <w:rsid w:val="5C5656FB"/>
    <w:rsid w:val="5C575ECB"/>
    <w:rsid w:val="5CE7687A"/>
    <w:rsid w:val="5DDE1391"/>
    <w:rsid w:val="5DDF358F"/>
    <w:rsid w:val="5E3F3F3F"/>
    <w:rsid w:val="5E6D2A13"/>
    <w:rsid w:val="5ED26F4F"/>
    <w:rsid w:val="5F925B11"/>
    <w:rsid w:val="60526897"/>
    <w:rsid w:val="60CF4A66"/>
    <w:rsid w:val="616F244D"/>
    <w:rsid w:val="61765028"/>
    <w:rsid w:val="622B1C79"/>
    <w:rsid w:val="624E0F13"/>
    <w:rsid w:val="62F92F29"/>
    <w:rsid w:val="63175A08"/>
    <w:rsid w:val="634C17BE"/>
    <w:rsid w:val="64400562"/>
    <w:rsid w:val="645268DD"/>
    <w:rsid w:val="64555BC0"/>
    <w:rsid w:val="64E50514"/>
    <w:rsid w:val="650006E3"/>
    <w:rsid w:val="6607602D"/>
    <w:rsid w:val="667154C6"/>
    <w:rsid w:val="66C45526"/>
    <w:rsid w:val="66D457C1"/>
    <w:rsid w:val="66F74A7C"/>
    <w:rsid w:val="674C151B"/>
    <w:rsid w:val="676705B3"/>
    <w:rsid w:val="67F25F98"/>
    <w:rsid w:val="680B7554"/>
    <w:rsid w:val="680F7AC7"/>
    <w:rsid w:val="681364CD"/>
    <w:rsid w:val="682341A6"/>
    <w:rsid w:val="683226F9"/>
    <w:rsid w:val="68380F62"/>
    <w:rsid w:val="68425464"/>
    <w:rsid w:val="68745F2D"/>
    <w:rsid w:val="68AF601C"/>
    <w:rsid w:val="69393D31"/>
    <w:rsid w:val="69586B2A"/>
    <w:rsid w:val="698450AA"/>
    <w:rsid w:val="69F273EE"/>
    <w:rsid w:val="6A16241A"/>
    <w:rsid w:val="6A2349DC"/>
    <w:rsid w:val="6A2F5543"/>
    <w:rsid w:val="6AA50A05"/>
    <w:rsid w:val="6AF44007"/>
    <w:rsid w:val="6B667481"/>
    <w:rsid w:val="6BE50B5D"/>
    <w:rsid w:val="6C7F49DE"/>
    <w:rsid w:val="6CAE6026"/>
    <w:rsid w:val="6CC22A42"/>
    <w:rsid w:val="6D717E9F"/>
    <w:rsid w:val="6E41530E"/>
    <w:rsid w:val="6E8822D0"/>
    <w:rsid w:val="6F131548"/>
    <w:rsid w:val="6FC80329"/>
    <w:rsid w:val="70CA25C0"/>
    <w:rsid w:val="711815B5"/>
    <w:rsid w:val="718501AF"/>
    <w:rsid w:val="71D85554"/>
    <w:rsid w:val="71EE645F"/>
    <w:rsid w:val="72432714"/>
    <w:rsid w:val="72565E22"/>
    <w:rsid w:val="727A2A79"/>
    <w:rsid w:val="72A24EE4"/>
    <w:rsid w:val="738F7283"/>
    <w:rsid w:val="739F4EC0"/>
    <w:rsid w:val="73F84155"/>
    <w:rsid w:val="73FE3C1B"/>
    <w:rsid w:val="7450169B"/>
    <w:rsid w:val="74D61027"/>
    <w:rsid w:val="74E4243A"/>
    <w:rsid w:val="76091AB6"/>
    <w:rsid w:val="765353AD"/>
    <w:rsid w:val="769E5A34"/>
    <w:rsid w:val="76DC2836"/>
    <w:rsid w:val="76F667DF"/>
    <w:rsid w:val="77000D49"/>
    <w:rsid w:val="77114A0B"/>
    <w:rsid w:val="7728668A"/>
    <w:rsid w:val="77D36B23"/>
    <w:rsid w:val="782557BB"/>
    <w:rsid w:val="78F64351"/>
    <w:rsid w:val="79317DBC"/>
    <w:rsid w:val="798110B1"/>
    <w:rsid w:val="79B64C9F"/>
    <w:rsid w:val="79E14685"/>
    <w:rsid w:val="79EA0F1A"/>
    <w:rsid w:val="7A0177CE"/>
    <w:rsid w:val="7A3E6F9D"/>
    <w:rsid w:val="7A576F7D"/>
    <w:rsid w:val="7B492B25"/>
    <w:rsid w:val="7B523A2D"/>
    <w:rsid w:val="7B5D0D24"/>
    <w:rsid w:val="7BA07DAA"/>
    <w:rsid w:val="7BB6521A"/>
    <w:rsid w:val="7C05637D"/>
    <w:rsid w:val="7C5867DC"/>
    <w:rsid w:val="7C792C12"/>
    <w:rsid w:val="7C811F23"/>
    <w:rsid w:val="7CEA2CFB"/>
    <w:rsid w:val="7D8A0903"/>
    <w:rsid w:val="7D8F476B"/>
    <w:rsid w:val="7DB139A6"/>
    <w:rsid w:val="7DF76D39"/>
    <w:rsid w:val="7E2D723B"/>
    <w:rsid w:val="7E851E42"/>
    <w:rsid w:val="7FD01E42"/>
    <w:rsid w:val="7FF07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Date"/>
    <w:basedOn w:val="1"/>
    <w:next w:val="1"/>
    <w:link w:val="96"/>
    <w:qFormat/>
    <w:uiPriority w:val="0"/>
    <w:pPr>
      <w:ind w:left="100" w:leftChars="2500"/>
    </w:p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semiHidden/>
    <w:qFormat/>
    <w:uiPriority w:val="0"/>
    <w:pPr>
      <w:ind w:left="1418" w:hanging="1418"/>
    </w:pPr>
  </w:style>
  <w:style w:type="paragraph" w:styleId="40">
    <w:name w:val="Normal (Web)"/>
    <w:basedOn w:val="1"/>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0"/>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Header Char"/>
    <w:basedOn w:val="45"/>
    <w:link w:val="35"/>
    <w:qFormat/>
    <w:uiPriority w:val="0"/>
    <w:rPr>
      <w:rFonts w:ascii="Arial" w:hAnsi="Arial"/>
      <w:b/>
      <w:sz w:val="18"/>
      <w:lang w:eastAsia="en-US"/>
    </w:rPr>
  </w:style>
  <w:style w:type="character" w:customStyle="1" w:styleId="90">
    <w:name w:val="Editor's Note Char"/>
    <w:link w:val="76"/>
    <w:qFormat/>
    <w:locked/>
    <w:uiPriority w:val="0"/>
    <w:rPr>
      <w:rFonts w:ascii="Times New Roman" w:hAnsi="Times New Roman"/>
      <w:color w:val="FF0000"/>
      <w:lang w:eastAsia="en-US"/>
    </w:rPr>
  </w:style>
  <w:style w:type="character" w:customStyle="1" w:styleId="91">
    <w:name w:val="Subtle Emphasis"/>
    <w:qFormat/>
    <w:uiPriority w:val="19"/>
    <w:rPr>
      <w:i/>
      <w:iCs/>
      <w:color w:val="404040"/>
    </w:rPr>
  </w:style>
  <w:style w:type="character" w:customStyle="1" w:styleId="92">
    <w:name w:val="Comment Text Char"/>
    <w:basedOn w:val="45"/>
    <w:link w:val="29"/>
    <w:semiHidden/>
    <w:qFormat/>
    <w:uiPriority w:val="99"/>
    <w:rPr>
      <w:rFonts w:ascii="Times New Roman" w:hAnsi="Times New Roman"/>
      <w:lang w:eastAsia="en-US"/>
    </w:rPr>
  </w:style>
  <w:style w:type="paragraph" w:styleId="93">
    <w:name w:val="List Paragraph"/>
    <w:basedOn w:val="1"/>
    <w:qFormat/>
    <w:uiPriority w:val="34"/>
    <w:pPr>
      <w:spacing w:after="160" w:line="278" w:lineRule="auto"/>
      <w:ind w:left="720"/>
      <w:contextualSpacing/>
    </w:pPr>
    <w:rPr>
      <w:rFonts w:asciiTheme="minorHAnsi" w:hAnsiTheme="minorHAnsi" w:eastAsiaTheme="minorEastAsia" w:cstheme="minorBidi"/>
      <w:kern w:val="2"/>
      <w:sz w:val="24"/>
      <w:szCs w:val="24"/>
      <w:lang w:val="en-US" w:eastAsia="zh-CN"/>
      <w14:ligatures w14:val="standardContextual"/>
    </w:rPr>
  </w:style>
  <w:style w:type="character" w:customStyle="1" w:styleId="94">
    <w:name w:val="TAH Car"/>
    <w:qFormat/>
    <w:uiPriority w:val="0"/>
    <w:rPr>
      <w:rFonts w:ascii="Arial" w:hAnsi="Arial" w:eastAsia="Times New Roman"/>
      <w:b/>
      <w:sz w:val="18"/>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Date Char"/>
    <w:basedOn w:val="45"/>
    <w:link w:val="3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8</Pages>
  <Words>2939</Words>
  <Characters>14136</Characters>
  <Lines>24</Lines>
  <Paragraphs>6</Paragraphs>
  <TotalTime>3</TotalTime>
  <ScaleCrop>false</ScaleCrop>
  <LinksUpToDate>false</LinksUpToDate>
  <CharactersWithSpaces>16091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2026-01-13T02:38:00Z</dcterms:created>
  <dc:creator>Michael Sanders, John M Meredith</dc:creator>
  <cp:lastModifiedBy>leetao</cp:lastModifiedBy>
  <cp:lastPrinted>2411-12-31T08:00:00Z</cp:lastPrinted>
  <dcterms:modified xsi:type="dcterms:W3CDTF">2026-01-29T06:21:04Z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04149D4C81864182A797A5503D214B62_13</vt:lpwstr>
  </property>
  <property fmtid="{D5CDD505-2E9C-101B-9397-08002B2CF9AE}" pid="5" name="KSOTemplateDocerSaveRecord">
    <vt:lpwstr>eyJoZGlkIjoiMzYwYWE2ZGE2OWRmMDA1ZTU4MTc3YjdhOWM1NzIzMTkiLCJ1c2VySWQiOiIxNzgxODczODYxIn0=</vt:lpwstr>
  </property>
</Properties>
</file>